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4"/>
        </w:rPr>
        <w:t>INFORMARE</w:t>
      </w:r>
    </w:p>
    <w:p>
      <w:pPr>
        <w:jc w:val="center"/>
      </w:pPr>
      <w:r>
        <w:rPr>
          <w:rFonts w:ascii="Arial" w:hAnsi="Arial"/>
          <w:b/>
          <w:color w:val="1F4E79"/>
          <w:sz w:val="34"/>
        </w:rPr>
        <w:t>Comisia pentru formare și dezvoltare în cariera didactică (CFDCD)</w:t>
        <w:br/>
        <w:t xml:space="preserve"> atribuții, evidența și echivalarea creditelor, obligația de formare și prima de carieră didactică</w:t>
      </w:r>
    </w:p>
    <w:p>
      <w:pPr>
        <w:jc w:val="center"/>
      </w:pPr>
      <w:r>
        <w:rPr>
          <w:i/>
          <w:sz w:val="20"/>
        </w:rPr>
        <w:t>Material de lucru transmis de Casa Corpului Didactic Sibiu către responsabilii cu formarea din unitățile de învățământ</w:t>
      </w:r>
    </w:p>
    <w:p>
      <w:r>
        <w:t>Data: 2 noiembrie 2026</w:t>
      </w:r>
    </w:p>
    <w:p>
      <w:pPr>
        <w:pStyle w:val="Heading1"/>
      </w:pPr>
      <w:r>
        <w:t>Scopul materialului și precizări privind baza documentară</w:t>
      </w:r>
    </w:p>
    <w:p>
      <w:r>
        <w:t>Prezenta informare sintetizează cadrul aplicabil formării continue a personalului didactic din învățământul preuniversitar, cu accent pe activitatea CFDCD, evidența CPT/ECTS, verificarea condiției de formare, recunoașterea și echivalarea rezultatelor învățării și utilizarea primei de carieră didactică pentru anul școlar 2025–2026.</w:t>
      </w:r>
    </w:p>
    <w:p>
      <w:r>
        <w:t>Baza principală: OMEC nr. 3.986 din 5 mai 2025, publicat în Monitorul Oficial nr. 472 din 21 mai 2025; Procedura specifică nr. 31.140/22.09.2025; OUG nr. 58/2023, în forma modificată și completată prin OUG nr. 39 din 5 mai 2026 și aprobată prin Legea nr. 163 din 5 august 2026. Pentru procedura distinctă de recunoaștere și echivalare a programelor de abilitare funcțională și a programelor asimilate se are în vedere și Procedura specifică nr. 30.271/20.08.2025, publicată de MEC.</w:t>
      </w:r>
    </w:p>
    <w:p>
      <w:pPr>
        <w:spacing w:before="100"/>
      </w:pPr>
      <w:r>
        <w:rPr>
          <w:b/>
        </w:rPr>
        <w:t xml:space="preserve">Precizare documentară: </w:t>
      </w:r>
      <w:r>
        <w:t>fișierul încărcat sub denumirea «Procedura_specifica_nr_31140.pdf» poartă în cuprins numărul și data 31.140/22.09.2025, nu 22.09.2026. În această informare este citată data înscrisă în act. PDF-ul încărcat are 6 pagini și nu include anexele nr. 1–6, deși procedura le menționează; modelele de mai jos sunt modele de lucru redactate pentru utilizare internă, nu reproduceri certificate ale anexelor oficiale.</w:t>
      </w:r>
    </w:p>
    <w:p>
      <w:r>
        <w:rPr>
          <w:b/>
        </w:rPr>
        <w:t xml:space="preserve">Atenție la distincția dintre proceduri: </w:t>
      </w:r>
      <w:r>
        <w:t>Procedura nr. 31.140/22.09.2025 reglementează verificarea condiției de formare și evidența creditelor; Procedura nr. 30.271/20.08.2025 reglementează recunoașterea/echivalarea în ECTS a programelor de abilitare funcțională și a programelor asimilate. Nu trebuie confundate cele două operațiuni.</w:t>
      </w:r>
    </w:p>
    <w:p>
      <w:pPr>
        <w:pStyle w:val="Heading1"/>
      </w:pPr>
      <w:r>
        <w:t>1. Ce este CFDCD</w:t>
      </w:r>
    </w:p>
    <w:p>
      <w:r>
        <w:t>CFDCD este Comisia pentru formare și dezvoltare în cariera didactică, organism cu caracter permanent, constituit la nivelul fiecărei unități de învățământ preuniversitar prin decizia directorului. Comisia are rolul de a identifica și analiza nevoile de formare continuă ale personalului didactic, de a identifica programele și proiectele care răspund acestor nevoi și de a monitoriza evoluția profesională și participarea cadrelor didactice la activități de formare.</w:t>
      </w:r>
    </w:p>
    <w:p>
      <w:r>
        <w:t>Temei: OMEC nr. 3.986/05.05.2025, Metodologia-cadru, art. 28 alin. (1)–(3); Procedura nr. 31.140/22.09.2025, art. 3 lit. g).</w:t>
      </w:r>
    </w:p>
    <w:p>
      <w:r>
        <w:t>CFDCD nu este furnizor de formare și nu acreditează programe. Acreditarea programelor de specialitate și complementare se realizează la nivelul MEC, iar comisia din școală gestionează evidența, verificarea și validarea rezultatelor în limitele metodologiei și procedurilor aplicabile.</w:t>
      </w:r>
    </w:p>
    <w:p>
      <w:pPr>
        <w:pStyle w:val="Heading1"/>
      </w:pPr>
      <w:r>
        <w:t>2. Atribuțiile CFDCD</w:t>
      </w:r>
    </w:p>
    <w:p>
      <w:r>
        <w:t>Potrivit OMEC nr. 3.986/2025, art. 28 alin. (2)–(3), coroborat cu art. 30 și art. 31, precum și Procedurii nr. 31.140/2025, art. 8–16, responsabilitățile principale sunt:</w:t>
      </w:r>
    </w:p>
    <w:p>
      <w:pPr>
        <w:pStyle w:val="ListBullet"/>
      </w:pPr>
      <w:r>
        <w:t>identifică nevoile de formare continuă ale personalului didactic și contribuie la fundamentarea planului de formare al unității;</w:t>
      </w:r>
    </w:p>
    <w:p>
      <w:pPr>
        <w:pStyle w:val="ListBullet"/>
      </w:pPr>
      <w:r>
        <w:t>identifică programele și proiectele de formare care răspund nevoilor profesionale și urmărește participarea personalului la acestea;</w:t>
      </w:r>
    </w:p>
    <w:p>
      <w:pPr>
        <w:pStyle w:val="ListBullet"/>
      </w:pPr>
      <w:r>
        <w:t>monitorizează evoluția în carieră a cadrelor didactice și participarea la programe/proiecte de formare continuă;</w:t>
      </w:r>
    </w:p>
    <w:p>
      <w:pPr>
        <w:pStyle w:val="ListBullet"/>
      </w:pPr>
      <w:r>
        <w:t>implementează și gestionează sistemul de acumulare a creditelor la nivelul unității pentru toate cadrele didactice (ECTS și, pentru perioadele/programele relevante, CPT);</w:t>
      </w:r>
    </w:p>
    <w:p>
      <w:pPr>
        <w:pStyle w:val="ListBullet"/>
      </w:pPr>
      <w:r>
        <w:t>stabilește și comunică fiecărui cadru didactic ultimul interval legal de 5 ani încheiat pentru care se verifică îndeplinirea condiției de formare;</w:t>
      </w:r>
    </w:p>
    <w:p>
      <w:pPr>
        <w:pStyle w:val="ListBullet"/>
      </w:pPr>
      <w:r>
        <w:t>analizează cererile și documentele-suport depuse de cadrele didactice, verifică autenticitatea formală și relevanța documentelor pentru intervalul analizat și stabilește stadiul creditelor;</w:t>
      </w:r>
    </w:p>
    <w:p>
      <w:pPr>
        <w:pStyle w:val="ListBullet"/>
      </w:pPr>
      <w:r>
        <w:t>întocmește situații centralizatoare și le transmite consiliului de administrație spre validare;</w:t>
      </w:r>
    </w:p>
    <w:p>
      <w:pPr>
        <w:pStyle w:val="ListBullet"/>
      </w:pPr>
      <w:r>
        <w:t>constituie și actualizează baza de date/registrul de evidență a creditelor; actualizarea anuală se realizează în intervalul 1 septembrie–31 octombrie pentru creditele acumulate în anul școlar precedent până la 31 iulie;</w:t>
      </w:r>
    </w:p>
    <w:p>
      <w:pPr>
        <w:pStyle w:val="ListBullet"/>
      </w:pPr>
      <w:r>
        <w:t>colaborează cu consiliul de administrație și consiliul profesoral pentru actualizarea evidenței și aplicarea unitară a procedurilor;</w:t>
      </w:r>
    </w:p>
    <w:p>
      <w:pPr>
        <w:pStyle w:val="ListBullet"/>
      </w:pPr>
      <w:r>
        <w:t>monitorizează respectarea obligației de participare cel puțin o dată la 2 ani la un program acreditat și participarea periodică la un program/curs de prim ajutor;</w:t>
      </w:r>
    </w:p>
    <w:p>
      <w:pPr>
        <w:pStyle w:val="ListBullet"/>
      </w:pPr>
      <w:r>
        <w:t>poate elabora o procedură proprie, aprobată de consiliul de administrație, pentru circuitul cererilor, documentelor, activitatea membrilor, arhivare și calendare, fără a modifica sau încălca procedura ministerială;</w:t>
      </w:r>
    </w:p>
    <w:p>
      <w:pPr>
        <w:pStyle w:val="ListBullet"/>
      </w:pPr>
      <w:r>
        <w:t>respectă confidențialitatea, protecția datelor cu caracter personal și regulile privind secretul profesional.</w:t>
      </w:r>
    </w:p>
    <w:p>
      <w:r>
        <w:t>Temeiuri punctuale: OMEC nr. 3.986/2025, art. 28 alin. (1)–(3), art. 30 alin. (1)–(6), art. 31 alin. (1)–(3); Procedura nr. 31.140/22.09.2025, art. 8, art. 9 alin. (1)–(4), art. 10–13 și art. 15–16.</w:t>
      </w:r>
    </w:p>
    <w:p>
      <w:pPr>
        <w:pStyle w:val="Heading1"/>
      </w:pPr>
      <w:r>
        <w:t>3. CPT, ECTS și conversia creditelor</w:t>
      </w:r>
    </w:p>
    <w:p>
      <w:pPr>
        <w:pStyle w:val="Heading2"/>
      </w:pPr>
      <w:r>
        <w:t>3.1. Ce reprezintă fiecare sistem</w:t>
      </w:r>
    </w:p>
    <w:p>
      <w:r>
        <w:t>CPT (credit profesional transferabil) este unitatea utilizată pentru programele de formare continuă acreditate sau avizate de MEC în baza metodologiilor anterioare datei de 1 septembrie 2025. ECTS este sistemul european de credite transferabile utilizat de la 1 septembrie 2025 pentru programele acreditate în baza OMEC nr. 3.986/2025.</w:t>
      </w:r>
    </w:p>
    <w:p>
      <w:r>
        <w:t>Temei: OMEC nr. 3.986/2025, art. 2 alin. (2)–(3); Procedura nr. 31.140/22.09.2025, art. 3 lit. c)–f).</w:t>
      </w:r>
    </w:p>
    <w:p>
      <w:pPr>
        <w:pStyle w:val="Heading2"/>
      </w:pPr>
      <w:r>
        <w:t>3.2. Regula de corespondență CPT–ECTS</w:t>
      </w:r>
    </w:p>
    <w:p>
      <w:r>
        <w:rPr>
          <w:b/>
          <w:color w:val="1F4E79"/>
          <w:sz w:val="28"/>
        </w:rPr>
        <w:t>6 CPT = 1 ECTS.</w:t>
      </w:r>
    </w:p>
    <w:p>
      <w:r>
        <w:t>Conversia se aplică numărului de CPT certificat pentru un program acreditat/avizat în regimul anterior datei de 1 septembrie 2025. Formula de calcul: numărul CPT ÷ 6 = numărul echivalent de ECTS. Exemple orientative:</w:t>
      </w:r>
    </w:p>
    <w:tbl>
      <w:tblPr>
        <w:tblStyle w:val="TableGrid"/>
        <w:tblW w:type="auto" w:w="0"/>
        <w:jc w:val="center"/>
        <w:tblLook w:firstColumn="1" w:firstRow="1" w:lastColumn="0" w:lastRow="0" w:noHBand="0" w:noVBand="1" w:val="04A0"/>
      </w:tblPr>
      <w:tblGrid>
        <w:gridCol w:w="3286"/>
        <w:gridCol w:w="3286"/>
        <w:gridCol w:w="3286"/>
      </w:tblGrid>
      <w:tr>
        <w:tc>
          <w:tcPr>
            <w:tcW w:type="dxa" w:w="3286"/>
            <w:vAlign w:val="center"/>
            <w:shd w:fill="D9EAF7"/>
          </w:tcPr>
          <w:p>
            <w:pPr>
              <w:spacing w:after="20"/>
            </w:pPr>
            <w:r/>
            <w:r>
              <w:rPr>
                <w:rFonts w:ascii="Arial" w:hAnsi="Arial"/>
                <w:b/>
                <w:sz w:val="18"/>
              </w:rPr>
              <w:t>Credite CPT</w:t>
            </w:r>
          </w:p>
        </w:tc>
        <w:tc>
          <w:tcPr>
            <w:tcW w:type="dxa" w:w="3286"/>
            <w:vAlign w:val="center"/>
            <w:shd w:fill="D9EAF7"/>
          </w:tcPr>
          <w:p>
            <w:pPr>
              <w:spacing w:after="20"/>
            </w:pPr>
            <w:r/>
            <w:r>
              <w:rPr>
                <w:rFonts w:ascii="Arial" w:hAnsi="Arial"/>
                <w:b/>
                <w:sz w:val="18"/>
              </w:rPr>
              <w:t>Calcul</w:t>
            </w:r>
          </w:p>
        </w:tc>
        <w:tc>
          <w:tcPr>
            <w:tcW w:type="dxa" w:w="3286"/>
            <w:vAlign w:val="center"/>
            <w:shd w:fill="D9EAF7"/>
          </w:tcPr>
          <w:p>
            <w:pPr>
              <w:spacing w:after="20"/>
            </w:pPr>
            <w:r/>
            <w:r>
              <w:rPr>
                <w:rFonts w:ascii="Arial" w:hAnsi="Arial"/>
                <w:b/>
                <w:sz w:val="18"/>
              </w:rPr>
              <w:t>Credite ECTS echivalente</w:t>
            </w:r>
          </w:p>
        </w:tc>
      </w:tr>
      <w:tr>
        <w:tc>
          <w:tcPr>
            <w:tcW w:type="dxa" w:w="3286"/>
            <w:vAlign w:val="center"/>
          </w:tcPr>
          <w:p>
            <w:pPr>
              <w:spacing w:after="20"/>
            </w:pPr>
            <w:r/>
            <w:r>
              <w:rPr>
                <w:rFonts w:ascii="Arial" w:hAnsi="Arial"/>
                <w:b w:val="0"/>
                <w:sz w:val="18"/>
              </w:rPr>
              <w:t>30</w:t>
            </w:r>
          </w:p>
        </w:tc>
        <w:tc>
          <w:tcPr>
            <w:tcW w:type="dxa" w:w="3286"/>
            <w:vAlign w:val="center"/>
          </w:tcPr>
          <w:p>
            <w:pPr>
              <w:spacing w:after="20"/>
            </w:pPr>
            <w:r/>
            <w:r>
              <w:rPr>
                <w:rFonts w:ascii="Arial" w:hAnsi="Arial"/>
                <w:b w:val="0"/>
                <w:sz w:val="18"/>
              </w:rPr>
              <w:t>30 ÷ 6</w:t>
            </w:r>
          </w:p>
        </w:tc>
        <w:tc>
          <w:tcPr>
            <w:tcW w:type="dxa" w:w="3286"/>
            <w:vAlign w:val="center"/>
          </w:tcPr>
          <w:p>
            <w:pPr>
              <w:spacing w:after="20"/>
            </w:pPr>
            <w:r/>
            <w:r>
              <w:rPr>
                <w:rFonts w:ascii="Arial" w:hAnsi="Arial"/>
                <w:b w:val="0"/>
                <w:sz w:val="18"/>
              </w:rPr>
              <w:t>5</w:t>
            </w:r>
          </w:p>
        </w:tc>
      </w:tr>
      <w:tr>
        <w:tc>
          <w:tcPr>
            <w:tcW w:type="dxa" w:w="3286"/>
            <w:vAlign w:val="center"/>
          </w:tcPr>
          <w:p>
            <w:pPr>
              <w:spacing w:after="20"/>
            </w:pPr>
            <w:r/>
            <w:r>
              <w:rPr>
                <w:rFonts w:ascii="Arial" w:hAnsi="Arial"/>
                <w:b w:val="0"/>
                <w:sz w:val="18"/>
              </w:rPr>
              <w:t>45</w:t>
            </w:r>
          </w:p>
        </w:tc>
        <w:tc>
          <w:tcPr>
            <w:tcW w:type="dxa" w:w="3286"/>
            <w:vAlign w:val="center"/>
          </w:tcPr>
          <w:p>
            <w:pPr>
              <w:spacing w:after="20"/>
            </w:pPr>
            <w:r/>
            <w:r>
              <w:rPr>
                <w:rFonts w:ascii="Arial" w:hAnsi="Arial"/>
                <w:b w:val="0"/>
                <w:sz w:val="18"/>
              </w:rPr>
              <w:t>45 ÷ 6</w:t>
            </w:r>
          </w:p>
        </w:tc>
        <w:tc>
          <w:tcPr>
            <w:tcW w:type="dxa" w:w="3286"/>
            <w:vAlign w:val="center"/>
          </w:tcPr>
          <w:p>
            <w:pPr>
              <w:spacing w:after="20"/>
            </w:pPr>
            <w:r/>
            <w:r>
              <w:rPr>
                <w:rFonts w:ascii="Arial" w:hAnsi="Arial"/>
                <w:b w:val="0"/>
                <w:sz w:val="18"/>
              </w:rPr>
              <w:t>7,5</w:t>
            </w:r>
          </w:p>
        </w:tc>
      </w:tr>
      <w:tr>
        <w:tc>
          <w:tcPr>
            <w:tcW w:type="dxa" w:w="3286"/>
            <w:vAlign w:val="center"/>
          </w:tcPr>
          <w:p>
            <w:pPr>
              <w:spacing w:after="20"/>
            </w:pPr>
            <w:r/>
            <w:r>
              <w:rPr>
                <w:rFonts w:ascii="Arial" w:hAnsi="Arial"/>
                <w:b w:val="0"/>
                <w:sz w:val="18"/>
              </w:rPr>
              <w:t>60</w:t>
            </w:r>
          </w:p>
        </w:tc>
        <w:tc>
          <w:tcPr>
            <w:tcW w:type="dxa" w:w="3286"/>
            <w:vAlign w:val="center"/>
          </w:tcPr>
          <w:p>
            <w:pPr>
              <w:spacing w:after="20"/>
            </w:pPr>
            <w:r/>
            <w:r>
              <w:rPr>
                <w:rFonts w:ascii="Arial" w:hAnsi="Arial"/>
                <w:b w:val="0"/>
                <w:sz w:val="18"/>
              </w:rPr>
              <w:t>60 ÷ 6</w:t>
            </w:r>
          </w:p>
        </w:tc>
        <w:tc>
          <w:tcPr>
            <w:tcW w:type="dxa" w:w="3286"/>
            <w:vAlign w:val="center"/>
          </w:tcPr>
          <w:p>
            <w:pPr>
              <w:spacing w:after="20"/>
            </w:pPr>
            <w:r/>
            <w:r>
              <w:rPr>
                <w:rFonts w:ascii="Arial" w:hAnsi="Arial"/>
                <w:b w:val="0"/>
                <w:sz w:val="18"/>
              </w:rPr>
              <w:t>10</w:t>
            </w:r>
          </w:p>
        </w:tc>
      </w:tr>
      <w:tr>
        <w:tc>
          <w:tcPr>
            <w:tcW w:type="dxa" w:w="3286"/>
            <w:vAlign w:val="center"/>
          </w:tcPr>
          <w:p>
            <w:pPr>
              <w:spacing w:after="20"/>
            </w:pPr>
            <w:r/>
            <w:r>
              <w:rPr>
                <w:rFonts w:ascii="Arial" w:hAnsi="Arial"/>
                <w:b w:val="0"/>
                <w:sz w:val="18"/>
              </w:rPr>
              <w:t>90</w:t>
            </w:r>
          </w:p>
        </w:tc>
        <w:tc>
          <w:tcPr>
            <w:tcW w:type="dxa" w:w="3286"/>
            <w:vAlign w:val="center"/>
          </w:tcPr>
          <w:p>
            <w:pPr>
              <w:spacing w:after="20"/>
            </w:pPr>
            <w:r/>
            <w:r>
              <w:rPr>
                <w:rFonts w:ascii="Arial" w:hAnsi="Arial"/>
                <w:b w:val="0"/>
                <w:sz w:val="18"/>
              </w:rPr>
              <w:t>90 ÷ 6</w:t>
            </w:r>
          </w:p>
        </w:tc>
        <w:tc>
          <w:tcPr>
            <w:tcW w:type="dxa" w:w="3286"/>
            <w:vAlign w:val="center"/>
          </w:tcPr>
          <w:p>
            <w:pPr>
              <w:spacing w:after="20"/>
            </w:pPr>
            <w:r/>
            <w:r>
              <w:rPr>
                <w:rFonts w:ascii="Arial" w:hAnsi="Arial"/>
                <w:b w:val="0"/>
                <w:sz w:val="18"/>
              </w:rPr>
              <w:t>15</w:t>
            </w:r>
          </w:p>
        </w:tc>
      </w:tr>
      <w:tr>
        <w:tc>
          <w:tcPr>
            <w:tcW w:type="dxa" w:w="3286"/>
            <w:vAlign w:val="center"/>
          </w:tcPr>
          <w:p>
            <w:pPr>
              <w:spacing w:after="20"/>
            </w:pPr>
            <w:r/>
            <w:r>
              <w:rPr>
                <w:rFonts w:ascii="Arial" w:hAnsi="Arial"/>
                <w:b w:val="0"/>
                <w:sz w:val="18"/>
              </w:rPr>
              <w:t>120</w:t>
            </w:r>
          </w:p>
        </w:tc>
        <w:tc>
          <w:tcPr>
            <w:tcW w:type="dxa" w:w="3286"/>
            <w:vAlign w:val="center"/>
          </w:tcPr>
          <w:p>
            <w:pPr>
              <w:spacing w:after="20"/>
            </w:pPr>
            <w:r/>
            <w:r>
              <w:rPr>
                <w:rFonts w:ascii="Arial" w:hAnsi="Arial"/>
                <w:b w:val="0"/>
                <w:sz w:val="18"/>
              </w:rPr>
              <w:t>120 ÷ 6</w:t>
            </w:r>
          </w:p>
        </w:tc>
        <w:tc>
          <w:tcPr>
            <w:tcW w:type="dxa" w:w="3286"/>
            <w:vAlign w:val="center"/>
          </w:tcPr>
          <w:p>
            <w:pPr>
              <w:spacing w:after="20"/>
            </w:pPr>
            <w:r/>
            <w:r>
              <w:rPr>
                <w:rFonts w:ascii="Arial" w:hAnsi="Arial"/>
                <w:b w:val="0"/>
                <w:sz w:val="18"/>
              </w:rPr>
              <w:t>20</w:t>
            </w:r>
          </w:p>
        </w:tc>
      </w:tr>
    </w:tbl>
    <w:p>
      <w:r>
        <w:t>Pentru îndeplinirea condiției de formare, pragul istoric de 90 CPT corespunde matematic pragului de 15 ECTS. În evidență se păstrează și numărul original de CPT, și echivalentul ECTS, astfel încât trasabilitatea documentelor să fie asigurată.</w:t>
      </w:r>
    </w:p>
    <w:p>
      <w:r>
        <w:t>Temei: OMEC nr. 3.986/2025, art. 33 și art. 35 alin. (1); Procedura nr. 31.140/22.09.2025, art. 3 lit. e), art. 5 și art. 7.</w:t>
      </w:r>
    </w:p>
    <w:p>
      <w:pPr>
        <w:pStyle w:val="Heading2"/>
      </w:pPr>
      <w:r>
        <w:t>3.3. Se transformă orele direct în ECTS?</w:t>
      </w:r>
    </w:p>
    <w:p>
      <w:r>
        <w:t>Nu se aplică o conversie automată de tipul «un anumit număr de ore = un anumit număr de ECTS» pentru orice activitate. În metodologia OMEC nr. 3.986/2025, un credit ECTS reprezintă volumul de muncă necesar dobândirii unui set de competențe și este cuantificat la 25 de ore de pregătire (art. 6 alin. (3)–(4)). Numărul de credite al unui program acreditat este însă stabilit în procesul de acreditare, în funcție de numărul de ore și de consistența curriculară (art. 6 alin. (1)–(2)), în intervalul 1–5 credite ECTS pentru un program (art. 6 alin. (5)).</w:t>
      </w:r>
    </w:p>
    <w:p>
      <w:r>
        <w:t>Prin urmare, CFDCD nu atribuie unilateral ECTS prin simpla împărțire a orelor la 25. Pentru un program acreditat după 1 septembrie 2025 se preia numărul ECTS înscris în documentul de certificare/actul de acreditare. Pentru activități de abilitare funcțională și programe asimilate, se aplică procedura distinctă nr. 30.271/20.08.2025 și grila sa de evaluare, nu o conversie simplă a orelor în credite.</w:t>
      </w:r>
    </w:p>
    <w:p>
      <w:r>
        <w:t>Temei: OMEC nr. 3.986/2025, art. 6 alin. (1)–(5); Procedura nr. 30.271/20.08.2025, art. 4–8.</w:t>
      </w:r>
    </w:p>
    <w:p>
      <w:pPr>
        <w:pStyle w:val="Heading1"/>
      </w:pPr>
      <w:r>
        <w:t>4. Tipuri de programe și activități care pot fi recunoscute/echivalate</w:t>
      </w:r>
    </w:p>
    <w:p>
      <w:pPr>
        <w:pStyle w:val="Heading2"/>
      </w:pPr>
      <w:r>
        <w:t>4.1. Categorii de programe în metodologia-cadru</w:t>
      </w:r>
    </w:p>
    <w:p>
      <w:pPr>
        <w:pStyle w:val="ListBullet"/>
      </w:pPr>
      <w:r>
        <w:t>Programe de specialitate – dezvoltă competențe în domeniul de specializare corespunzător funcției didactice, în domeniul psihopedagogic și metodic sau în management educațional (OMEC nr. 3.986/2025, art. 4 lit. a)).</w:t>
      </w:r>
    </w:p>
    <w:p>
      <w:pPr>
        <w:pStyle w:val="ListBullet"/>
      </w:pPr>
      <w:r>
        <w:t>Programe complementare – dezvoltă competențe în domenii complementare specializării funcției didactice ocupate (art. 4 lit. b)).</w:t>
      </w:r>
    </w:p>
    <w:p>
      <w:pPr>
        <w:pStyle w:val="ListBullet"/>
      </w:pPr>
      <w:r>
        <w:t>Programe de abilitare funcțională – dezvoltă abilități și deprinderi în domenii precum autonomia pedagogică, self-management, comportamente sociale adecvate și domenii conexe educației (art. 4 lit. c)).</w:t>
      </w:r>
    </w:p>
    <w:p>
      <w:r>
        <w:t>Programele de specialitate și complementare se validează calitativ prin acreditare. Programele de abilitare funcțională fac obiectul recunoașterii și echivalării potrivit unei proceduri specifice (OMEC nr. 3.986/2025, art. 5 alin. (1)–(3)).</w:t>
      </w:r>
    </w:p>
    <w:p>
      <w:pPr>
        <w:pStyle w:val="Heading2"/>
      </w:pPr>
      <w:r>
        <w:t>4.2. Exemple de activități care pot intra în procedura de recunoaștere a abilitării funcționale/asimilatelor</w:t>
      </w:r>
    </w:p>
    <w:p>
      <w:r>
        <w:t>Procedura nr. 30.271/20.08.2025, art. 4 lit. a)–b), include, între altele:</w:t>
      </w:r>
    </w:p>
    <w:p>
      <w:pPr>
        <w:pStyle w:val="ListBullet"/>
      </w:pPr>
      <w:r>
        <w:t>activități de autonomie pedagogică: curriculum la decizia școlii, adaptarea materialelor didactice, strategii de predare centrate pe elev;</w:t>
      </w:r>
    </w:p>
    <w:p>
      <w:pPr>
        <w:pStyle w:val="ListBullet"/>
      </w:pPr>
      <w:r>
        <w:t>dezvoltare personală, managementul stresului, managementul timpului și echilibru emoțional;</w:t>
      </w:r>
    </w:p>
    <w:p>
      <w:pPr>
        <w:pStyle w:val="ListBullet"/>
      </w:pPr>
      <w:r>
        <w:t>comunicare, comportamente nonviolente, managementul conflictului și consiliere școlară;</w:t>
      </w:r>
    </w:p>
    <w:p>
      <w:pPr>
        <w:pStyle w:val="ListBullet"/>
      </w:pPr>
      <w:r>
        <w:t>utilizarea TIC, pedagogie digitală, platforme digitale și gamificare;</w:t>
      </w:r>
    </w:p>
    <w:p>
      <w:pPr>
        <w:pStyle w:val="ListBullet"/>
      </w:pPr>
      <w:r>
        <w:t>programe oferite de instituții/structuri naționale sau internaționale cu experiență recunoscută, care nu se pot încadra în condițiile de acreditare/implementare ale metodologiei (exemplele din procedură: Institutul Francez, British Council, Institutul Goethe, ECDL, CERTIPORT);</w:t>
      </w:r>
    </w:p>
    <w:p>
      <w:pPr>
        <w:pStyle w:val="ListBullet"/>
      </w:pPr>
      <w:r>
        <w:t>programe avizate de MEC din oferta CCD, programe de formare profesională a adulților, programe internaționale, Erasmus+, mobilități și schimburi de bune practici;</w:t>
      </w:r>
    </w:p>
    <w:p>
      <w:pPr>
        <w:pStyle w:val="ListBullet"/>
      </w:pPr>
      <w:r>
        <w:t>conferințe, simpozioane, seminare, webinare, comunicări științifice, workshopuri și activități metodico-științifice;</w:t>
      </w:r>
    </w:p>
    <w:p>
      <w:pPr>
        <w:pStyle w:val="ListBullet"/>
      </w:pPr>
      <w:r>
        <w:t>activități în comunități de învățare profesională, prin colaborare în echipe la realizarea/implementarea proiectelor educaționale.</w:t>
      </w:r>
    </w:p>
    <w:p>
      <w:r>
        <w:rPr>
          <w:b/>
        </w:rPr>
        <w:t xml:space="preserve">Limită importantă: </w:t>
      </w:r>
      <w:r>
        <w:t>creditele ECTS acordate prin recunoașterea programelor de abilitare funcțională și a programelor asimilate nu se iau în calcul la îndeplinirea pragului obligatoriu de formare de 15 ECTS; ele se valorifică în portofoliul profesional. Temei: OMEC nr. 3.986/2025, art. 30 alin. (5); Procedura nr. 31.140/2025, art. 14 alin. (2).</w:t>
      </w:r>
    </w:p>
    <w:p>
      <w:r>
        <w:t>În cazul programelor acreditate/avizate în sistemul anterior, CFDCD ține evidența CPT și indică obligatoriu echivalentul ECTS. Pentru programele noi acreditate începând cu 1 septembrie 2025, se preia numărul de ECTS înscris în certificatul de absolvire.</w:t>
      </w:r>
    </w:p>
    <w:p>
      <w:pPr>
        <w:pStyle w:val="Heading1"/>
      </w:pPr>
      <w:r>
        <w:t>5. Obligația de formare: intervale și praguri</w:t>
      </w:r>
    </w:p>
    <w:p>
      <w:r>
        <w:t>Formarea continuă este atât drept, cât și obligație pentru personalul didactic din învățământul preuniversitar (OMEC nr. 3.986/2025, art. 1 alin. (1)). Trebuie urmărite două obligații distincte:</w:t>
      </w:r>
    </w:p>
    <w:p>
      <w:pPr>
        <w:pStyle w:val="Heading2"/>
      </w:pPr>
      <w:r>
        <w:t>5.1. Condiția de formare la fiecare interval legal</w:t>
      </w:r>
    </w:p>
    <w:p>
      <w:r>
        <w:t>La fiecare interval consecutiv de 5 ani școlari de activitate didactică la catedră, calculat de la promovarea definitivatului sau, după caz, a licențierii în cariera didactică, cadrul didactic trebuie să acumuleze minimum 15 credite ECTS din programe acreditate de tip specialitate și/sau complementar. Perioadele de suspendare a contractului individual de muncă nu se includ în calculul intervalului.</w:t>
      </w:r>
    </w:p>
    <w:p>
      <w:r>
        <w:t>Pentru intervalele legale care includ anul școlar 2023–2024, Procedura nr. 31.140/2025 prevede verificarea pragului de minimum 90 CPT, potrivit reglementărilor tranzitorii. Pentru intervalele care nu includ anul școlar 2023–2024 și încep cu anul școlar 2024–2025 sau ulterior, condiția se verifică prin minimum 15 ECTS, care pot proveni din echivalarea CPT (6:1) și/sau din programe acreditate în noul sistem.</w:t>
      </w:r>
    </w:p>
    <w:p>
      <w:r>
        <w:t>Temei: OMEC nr. 3.986/2025, art. 29 alin. (2)–(4); Procedura nr. 31.140/22.09.2025, art. 3 lit. a)–f), art. 5 și art. 7 lit. a)–c).</w:t>
      </w:r>
    </w:p>
    <w:p>
      <w:pPr>
        <w:pStyle w:val="Heading2"/>
      </w:pPr>
      <w:r>
        <w:t>5.2. Participare cel puțin o dată la 2 ani și cursul de prim ajutor</w:t>
      </w:r>
    </w:p>
    <w:p>
      <w:r>
        <w:t>Independent de îndeplinirea pragului de 15 ECTS/90 CPT, personalul didactic are obligația de a participa cel puțin o dată la 2 ani la cel puțin un program de formare continuă acreditat, conform planului stabilit la nivelul unității pe baza analizei nevoilor de formare elaborate de CFDCD. Formarea continuă include, în mod obligatoriu și periodic, un program/curs de prim ajutor; periodicitatea se stabilește la nivelul unității pe baza analizei nevoilor de formare.</w:t>
      </w:r>
    </w:p>
    <w:p>
      <w:r>
        <w:t>Aceste obligații se aplică inclusiv cadrelor didactice care au îndeplinit deja condiția de formare în intervalul de 5 ani. CFDCD monitorizează respectarea lor.</w:t>
      </w:r>
    </w:p>
    <w:p>
      <w:r>
        <w:t>Temei: OMEC nr. 3.986/2025, art. 31 alin. (1)–(3); Procedura nr. 31.140/22.09.2025, art. 15 alin. (1)–(4).</w:t>
      </w:r>
    </w:p>
    <w:p>
      <w:pPr>
        <w:pStyle w:val="Heading2"/>
      </w:pPr>
      <w:r>
        <w:t>5.3. Forme de dezvoltare profesională care determină îndeplinirea de drept a condiției</w:t>
      </w:r>
    </w:p>
    <w:p>
      <w:r>
        <w:t>Dacă, în intervalul legal, cadrul didactic finalizează și dovedește una dintre formele de mai jos, condiția de formare se consideră îndeplinită de drept:</w:t>
      </w:r>
    </w:p>
    <w:p>
      <w:pPr>
        <w:pStyle w:val="ListBullet"/>
      </w:pPr>
      <w:r>
        <w:t>obținerea gradului didactic II sau I;</w:t>
      </w:r>
    </w:p>
    <w:p>
      <w:pPr>
        <w:pStyle w:val="ListBullet"/>
      </w:pPr>
      <w:r>
        <w:t>dobândirea unei noi specializări prin absolvirea unui program autorizat/acreditat de studii universitare de licență;</w:t>
      </w:r>
    </w:p>
    <w:p>
      <w:pPr>
        <w:pStyle w:val="ListBullet"/>
      </w:pPr>
      <w:r>
        <w:t>absolvirea unui program autorizat/acreditat de studii postuniversitare cu durata minimă de 1 an/2 semestre;</w:t>
      </w:r>
    </w:p>
    <w:p>
      <w:pPr>
        <w:pStyle w:val="ListBullet"/>
      </w:pPr>
      <w:r>
        <w:t>absolvirea unui program de studii postuniversitare de conversie profesională cu durata minimă de 1,5 ani/3 semestre;</w:t>
      </w:r>
    </w:p>
    <w:p>
      <w:pPr>
        <w:pStyle w:val="ListBullet"/>
      </w:pPr>
      <w:r>
        <w:t>absolvirea unui program autorizat/acreditat de studii universitare de masterat;</w:t>
      </w:r>
    </w:p>
    <w:p>
      <w:pPr>
        <w:pStyle w:val="ListBullet"/>
      </w:pPr>
      <w:r>
        <w:t>absolvirea studiilor universitare de doctorat;</w:t>
      </w:r>
    </w:p>
    <w:p>
      <w:pPr>
        <w:pStyle w:val="ListBullet"/>
      </w:pPr>
      <w:r>
        <w:t>absolvirea unui program de studii postdoctorale.</w:t>
      </w:r>
    </w:p>
    <w:p>
      <w:r>
        <w:t>Dacă în același interval au fost finalizate simultan mai multe dintre aceste forme, numai una poate fi transferată pentru recunoașterea condiției în următorul interval. Temei: OMEC nr. 3.986/2025, art. 29 alin. (5); Procedura nr. 31.140/2025, art. 6 alin. (1)–(2).</w:t>
      </w:r>
    </w:p>
    <w:p>
      <w:pPr>
        <w:pStyle w:val="Heading2"/>
      </w:pPr>
      <w:r>
        <w:t>5.4. Situații particulare</w:t>
      </w:r>
    </w:p>
    <w:p>
      <w:r>
        <w:t>Pentru cadrele didactice cu contract suspendat/rezervarea postului, intervalul se compune din anii de activitate didactică anteriori suspendării și anii de activitate de după revenire, potrivit Procedurii nr. 31.140/2025, art. 4 alin. (1). Dacă raportul de muncă a încetat după definitivat/licențiere, intervalul de 5 ani se calculează de la reîncadrarea prin concurs, conform art. 4 alin. (2). Cadrele didactice încadrate în mai multe unități declară la începutul anului școlar unitatea la care optează pentru gestionarea creditelor, potrivit OMEC nr. 3.986/2025, art. 30 alin. (1) și Procedurii nr. 31.140/2025, art. 8 alin. (2).</w:t>
      </w:r>
    </w:p>
    <w:p>
      <w:pPr>
        <w:pStyle w:val="Heading1"/>
      </w:pPr>
      <w:r>
        <w:t>6. Verificarea condiției și dosarul cadrului didactic</w:t>
      </w:r>
    </w:p>
    <w:p>
      <w:r>
        <w:t>Verificarea și validarea se realizează anual, la nivelul fiecărei unități cu personalitate juridică, prin CFDCD. După comunicarea intervalului legal verificat, cadrul didactic depune la secretariat un dosar care cuprinde:</w:t>
      </w:r>
    </w:p>
    <w:p>
      <w:pPr>
        <w:pStyle w:val="ListBullet"/>
      </w:pPr>
      <w:r>
        <w:t>cerere, inclusiv consimțământul pentru prelucrarea datelor și declarația pe propria răspundere că documentele sunt copii conforme cu originalul și îi aparțin solicitantului;</w:t>
      </w:r>
    </w:p>
    <w:p>
      <w:pPr>
        <w:pStyle w:val="ListBullet"/>
      </w:pPr>
      <w:r>
        <w:t>opisul documentelor;</w:t>
      </w:r>
    </w:p>
    <w:p>
      <w:pPr>
        <w:pStyle w:val="ListBullet"/>
      </w:pPr>
      <w:r>
        <w:t>copii ale documentelor-suport de certificare obținute în intervalul legal verificat.</w:t>
      </w:r>
    </w:p>
    <w:p>
      <w:r>
        <w:t>CFDCD evaluează documentele, înregistrează stadiul în registrul de evidență și întocmește situația centralizatoare care se transmite consiliului de administrație spre validare. Unitatea eliberează adeverința privind îndeplinirea sau neîndeplinirea condiției. Responsabilitatea depunerii dosarului revine cadrului didactic; corectitudinea datelor din adeverință revine responsabilului/coordonatorului CFDCD și directorului.</w:t>
      </w:r>
    </w:p>
    <w:p>
      <w:r>
        <w:t>Temei: Procedura nr. 31.140/22.09.2025, art. 8–11; anexele nr. 1–5 sunt declarate parte integrantă la art. 18, dar nu au fost incluse în PDF-ul transmis pentru această informare.</w:t>
      </w:r>
    </w:p>
    <w:p>
      <w:pPr>
        <w:pStyle w:val="Heading1"/>
      </w:pPr>
      <w:r>
        <w:t>7. Model de raport/proces-verbal de echivalare întocmit de CFDCD</w:t>
      </w:r>
    </w:p>
    <w:p>
      <w:r>
        <w:rPr>
          <w:b/>
        </w:rPr>
        <w:t xml:space="preserve">Important: </w:t>
      </w:r>
      <w:r>
        <w:t>pentru conversia CPT în ECTS se aplică formula fixă 6 CPT = 1 ECTS, conform OMEC nr. 3.986/2025, art. 33. Pentru recunoașterea programelor de abilitare funcțională și a celor asimilate se folosește Procedura nr. 30.271/20.08.2025: dosarul este evaluat prin grila din anexa nr. 3, iar CFDCD întocmește proces-verbal conform modelului anexei nr. 4 (art. 8 alin. (4)–(5)). Modelul de mai jos este un formular practic adaptat, nu formularul oficial reprodus.</w:t>
      </w:r>
    </w:p>
    <w:p>
      <w:pPr>
        <w:pStyle w:val="Heading2"/>
      </w:pPr>
      <w:r>
        <w:t>MODEL – RAPORT/PROCES-VERBAL CFDCD</w:t>
      </w:r>
    </w:p>
    <w:p>
      <w:r>
        <w:t>Unitatea de învățământ: ........................................................................................................</w:t>
      </w:r>
    </w:p>
    <w:p>
      <w:r>
        <w:t>Nr. înregistrare: ....................... / Data: ........................</w:t>
      </w:r>
    </w:p>
    <w:p>
      <w:r>
        <w:t>Încheiat astăzi, ...................., de către Comisia pentru formare și dezvoltare în cariera didactică, constituită prin Decizia directorului nr. .......... / .........., în următoarea componență:</w:t>
      </w:r>
    </w:p>
    <w:p>
      <w:r>
        <w:t>Coordonator: ........................................................................................................................</w:t>
      </w:r>
    </w:p>
    <w:p>
      <w:r>
        <w:t>Membri: ................................................................................................................................</w:t>
      </w:r>
    </w:p>
    <w:p>
      <w:r>
        <w:t>Obiectul analizei: verificarea documentelor depuse de doamna/domnul ..........................................., funcția didactică ...................................., în vederea evidenței/echivalării creditelor pentru intervalul legal ........................................</w:t>
      </w:r>
    </w:p>
    <w:p>
      <w:pPr>
        <w:pStyle w:val="Heading3"/>
      </w:pPr>
      <w:r>
        <w:t>A. Situația documentelor și a creditelor CPT</w:t>
      </w:r>
    </w:p>
    <w:tbl>
      <w:tblPr>
        <w:tblStyle w:val="TableGrid"/>
        <w:tblW w:type="auto" w:w="0"/>
        <w:jc w:val="center"/>
        <w:tblLook w:firstColumn="1" w:firstRow="1" w:lastColumn="0" w:lastRow="0" w:noHBand="0" w:noVBand="1" w:val="04A0"/>
      </w:tblPr>
      <w:tblGrid>
        <w:gridCol w:w="1643"/>
        <w:gridCol w:w="1643"/>
        <w:gridCol w:w="1643"/>
        <w:gridCol w:w="1643"/>
        <w:gridCol w:w="1643"/>
        <w:gridCol w:w="1643"/>
      </w:tblGrid>
      <w:tr>
        <w:tc>
          <w:tcPr>
            <w:tcW w:type="dxa" w:w="1643"/>
            <w:vAlign w:val="center"/>
            <w:shd w:fill="D9EAF7"/>
          </w:tcPr>
          <w:p>
            <w:pPr>
              <w:spacing w:after="20"/>
            </w:pPr>
            <w:r/>
            <w:r>
              <w:rPr>
                <w:rFonts w:ascii="Arial" w:hAnsi="Arial"/>
                <w:b/>
                <w:sz w:val="16"/>
              </w:rPr>
              <w:t>Nr. crt.</w:t>
            </w:r>
          </w:p>
        </w:tc>
        <w:tc>
          <w:tcPr>
            <w:tcW w:type="dxa" w:w="1643"/>
            <w:vAlign w:val="center"/>
            <w:shd w:fill="D9EAF7"/>
          </w:tcPr>
          <w:p>
            <w:pPr>
              <w:spacing w:after="20"/>
            </w:pPr>
            <w:r/>
            <w:r>
              <w:rPr>
                <w:rFonts w:ascii="Arial" w:hAnsi="Arial"/>
                <w:b/>
                <w:sz w:val="16"/>
              </w:rPr>
              <w:t>Denumirea programului</w:t>
            </w:r>
          </w:p>
        </w:tc>
        <w:tc>
          <w:tcPr>
            <w:tcW w:type="dxa" w:w="1643"/>
            <w:vAlign w:val="center"/>
            <w:shd w:fill="D9EAF7"/>
          </w:tcPr>
          <w:p>
            <w:pPr>
              <w:spacing w:after="20"/>
            </w:pPr>
            <w:r/>
            <w:r>
              <w:rPr>
                <w:rFonts w:ascii="Arial" w:hAnsi="Arial"/>
                <w:b/>
                <w:sz w:val="16"/>
              </w:rPr>
              <w:t>Furnizor / nr. certificat</w:t>
            </w:r>
          </w:p>
        </w:tc>
        <w:tc>
          <w:tcPr>
            <w:tcW w:type="dxa" w:w="1643"/>
            <w:vAlign w:val="center"/>
            <w:shd w:fill="D9EAF7"/>
          </w:tcPr>
          <w:p>
            <w:pPr>
              <w:spacing w:after="20"/>
            </w:pPr>
            <w:r/>
            <w:r>
              <w:rPr>
                <w:rFonts w:ascii="Arial" w:hAnsi="Arial"/>
                <w:b/>
                <w:sz w:val="16"/>
              </w:rPr>
              <w:t>Data/perioada</w:t>
            </w:r>
          </w:p>
        </w:tc>
        <w:tc>
          <w:tcPr>
            <w:tcW w:type="dxa" w:w="1643"/>
            <w:vAlign w:val="center"/>
            <w:shd w:fill="D9EAF7"/>
          </w:tcPr>
          <w:p>
            <w:pPr>
              <w:spacing w:after="20"/>
            </w:pPr>
            <w:r/>
            <w:r>
              <w:rPr>
                <w:rFonts w:ascii="Arial" w:hAnsi="Arial"/>
                <w:b/>
                <w:sz w:val="16"/>
              </w:rPr>
              <w:t>CPT certificate</w:t>
            </w:r>
          </w:p>
        </w:tc>
        <w:tc>
          <w:tcPr>
            <w:tcW w:type="dxa" w:w="1643"/>
            <w:vAlign w:val="center"/>
            <w:shd w:fill="D9EAF7"/>
          </w:tcPr>
          <w:p>
            <w:pPr>
              <w:spacing w:after="20"/>
            </w:pPr>
            <w:r/>
            <w:r>
              <w:rPr>
                <w:rFonts w:ascii="Arial" w:hAnsi="Arial"/>
                <w:b/>
                <w:sz w:val="16"/>
              </w:rPr>
              <w:t>ECTS (CPT ÷ 6)</w:t>
            </w:r>
          </w:p>
        </w:tc>
      </w:tr>
      <w:tr>
        <w:tc>
          <w:tcPr>
            <w:tcW w:type="dxa" w:w="1643"/>
            <w:vAlign w:val="center"/>
          </w:tcPr>
          <w:p>
            <w:pPr>
              <w:spacing w:after="20"/>
            </w:pPr>
            <w:r/>
            <w:r>
              <w:rPr>
                <w:rFonts w:ascii="Arial" w:hAnsi="Arial"/>
                <w:b w:val="0"/>
                <w:sz w:val="16"/>
              </w:rPr>
              <w:t>1</w:t>
            </w:r>
          </w:p>
        </w:tc>
        <w:tc>
          <w:tcPr>
            <w:tcW w:type="dxa" w:w="1643"/>
            <w:vAlign w:val="center"/>
          </w:tcPr>
          <w:p>
            <w:pPr>
              <w:spacing w:after="20"/>
            </w:pPr>
            <w:r/>
            <w:r>
              <w:rPr>
                <w:rFonts w:ascii="Arial" w:hAnsi="Arial"/>
                <w:b w:val="0"/>
                <w:sz w:val="16"/>
              </w:rPr>
              <w:t>................................</w:t>
            </w:r>
          </w:p>
        </w:tc>
        <w:tc>
          <w:tcPr>
            <w:tcW w:type="dxa" w:w="1643"/>
            <w:vAlign w:val="center"/>
          </w:tcPr>
          <w:p>
            <w:pPr>
              <w:spacing w:after="20"/>
            </w:pPr>
            <w:r/>
            <w:r>
              <w:rPr>
                <w:rFonts w:ascii="Arial" w:hAnsi="Arial"/>
                <w:b w:val="0"/>
                <w:sz w:val="16"/>
              </w:rPr>
              <w:t>................................</w:t>
            </w:r>
          </w:p>
        </w:tc>
        <w:tc>
          <w:tcPr>
            <w:tcW w:type="dxa" w:w="1643"/>
            <w:vAlign w:val="center"/>
          </w:tcPr>
          <w:p>
            <w:pPr>
              <w:spacing w:after="20"/>
            </w:pPr>
            <w:r/>
            <w:r>
              <w:rPr>
                <w:rFonts w:ascii="Arial" w:hAnsi="Arial"/>
                <w:b w:val="0"/>
                <w:sz w:val="16"/>
              </w:rPr>
              <w:t>................</w:t>
            </w:r>
          </w:p>
        </w:tc>
        <w:tc>
          <w:tcPr>
            <w:tcW w:type="dxa" w:w="1643"/>
            <w:vAlign w:val="center"/>
          </w:tcPr>
          <w:p>
            <w:pPr>
              <w:spacing w:after="20"/>
            </w:pPr>
            <w:r/>
            <w:r>
              <w:rPr>
                <w:rFonts w:ascii="Arial" w:hAnsi="Arial"/>
                <w:b w:val="0"/>
                <w:sz w:val="16"/>
              </w:rPr>
              <w:t>........</w:t>
            </w:r>
          </w:p>
        </w:tc>
        <w:tc>
          <w:tcPr>
            <w:tcW w:type="dxa" w:w="1643"/>
            <w:vAlign w:val="center"/>
          </w:tcPr>
          <w:p>
            <w:pPr>
              <w:spacing w:after="20"/>
            </w:pPr>
            <w:r/>
            <w:r>
              <w:rPr>
                <w:rFonts w:ascii="Arial" w:hAnsi="Arial"/>
                <w:b w:val="0"/>
                <w:sz w:val="16"/>
              </w:rPr>
              <w:t>........</w:t>
            </w:r>
          </w:p>
        </w:tc>
      </w:tr>
      <w:tr>
        <w:tc>
          <w:tcPr>
            <w:tcW w:type="dxa" w:w="1643"/>
            <w:vAlign w:val="center"/>
          </w:tcPr>
          <w:p>
            <w:pPr>
              <w:spacing w:after="20"/>
            </w:pPr>
            <w:r/>
            <w:r>
              <w:rPr>
                <w:rFonts w:ascii="Arial" w:hAnsi="Arial"/>
                <w:b w:val="0"/>
                <w:sz w:val="16"/>
              </w:rPr>
              <w:t>2</w:t>
            </w:r>
          </w:p>
        </w:tc>
        <w:tc>
          <w:tcPr>
            <w:tcW w:type="dxa" w:w="1643"/>
            <w:vAlign w:val="center"/>
          </w:tcPr>
          <w:p>
            <w:pPr>
              <w:spacing w:after="20"/>
            </w:pPr>
            <w:r/>
            <w:r>
              <w:rPr>
                <w:rFonts w:ascii="Arial" w:hAnsi="Arial"/>
                <w:b w:val="0"/>
                <w:sz w:val="16"/>
              </w:rPr>
              <w:t>................................</w:t>
            </w:r>
          </w:p>
        </w:tc>
        <w:tc>
          <w:tcPr>
            <w:tcW w:type="dxa" w:w="1643"/>
            <w:vAlign w:val="center"/>
          </w:tcPr>
          <w:p>
            <w:pPr>
              <w:spacing w:after="20"/>
            </w:pPr>
            <w:r/>
            <w:r>
              <w:rPr>
                <w:rFonts w:ascii="Arial" w:hAnsi="Arial"/>
                <w:b w:val="0"/>
                <w:sz w:val="16"/>
              </w:rPr>
              <w:t>................................</w:t>
            </w:r>
          </w:p>
        </w:tc>
        <w:tc>
          <w:tcPr>
            <w:tcW w:type="dxa" w:w="1643"/>
            <w:vAlign w:val="center"/>
          </w:tcPr>
          <w:p>
            <w:pPr>
              <w:spacing w:after="20"/>
            </w:pPr>
            <w:r/>
            <w:r>
              <w:rPr>
                <w:rFonts w:ascii="Arial" w:hAnsi="Arial"/>
                <w:b w:val="0"/>
                <w:sz w:val="16"/>
              </w:rPr>
              <w:t>................</w:t>
            </w:r>
          </w:p>
        </w:tc>
        <w:tc>
          <w:tcPr>
            <w:tcW w:type="dxa" w:w="1643"/>
            <w:vAlign w:val="center"/>
          </w:tcPr>
          <w:p>
            <w:pPr>
              <w:spacing w:after="20"/>
            </w:pPr>
            <w:r/>
            <w:r>
              <w:rPr>
                <w:rFonts w:ascii="Arial" w:hAnsi="Arial"/>
                <w:b w:val="0"/>
                <w:sz w:val="16"/>
              </w:rPr>
              <w:t>........</w:t>
            </w:r>
          </w:p>
        </w:tc>
        <w:tc>
          <w:tcPr>
            <w:tcW w:type="dxa" w:w="1643"/>
            <w:vAlign w:val="center"/>
          </w:tcPr>
          <w:p>
            <w:pPr>
              <w:spacing w:after="20"/>
            </w:pPr>
            <w:r/>
            <w:r>
              <w:rPr>
                <w:rFonts w:ascii="Arial" w:hAnsi="Arial"/>
                <w:b w:val="0"/>
                <w:sz w:val="16"/>
              </w:rPr>
              <w:t>........</w:t>
            </w:r>
          </w:p>
        </w:tc>
      </w:tr>
      <w:tr>
        <w:tc>
          <w:tcPr>
            <w:tcW w:type="dxa" w:w="1643"/>
            <w:vAlign w:val="center"/>
          </w:tcPr>
          <w:p>
            <w:pPr>
              <w:spacing w:after="20"/>
            </w:pPr>
            <w:r/>
            <w:r>
              <w:rPr>
                <w:rFonts w:ascii="Arial" w:hAnsi="Arial"/>
                <w:b w:val="0"/>
                <w:sz w:val="16"/>
              </w:rPr>
              <w:t>3</w:t>
            </w:r>
          </w:p>
        </w:tc>
        <w:tc>
          <w:tcPr>
            <w:tcW w:type="dxa" w:w="1643"/>
            <w:vAlign w:val="center"/>
          </w:tcPr>
          <w:p>
            <w:pPr>
              <w:spacing w:after="20"/>
            </w:pPr>
            <w:r/>
            <w:r>
              <w:rPr>
                <w:rFonts w:ascii="Arial" w:hAnsi="Arial"/>
                <w:b w:val="0"/>
                <w:sz w:val="16"/>
              </w:rPr>
              <w:t>................................</w:t>
            </w:r>
          </w:p>
        </w:tc>
        <w:tc>
          <w:tcPr>
            <w:tcW w:type="dxa" w:w="1643"/>
            <w:vAlign w:val="center"/>
          </w:tcPr>
          <w:p>
            <w:pPr>
              <w:spacing w:after="20"/>
            </w:pPr>
            <w:r/>
            <w:r>
              <w:rPr>
                <w:rFonts w:ascii="Arial" w:hAnsi="Arial"/>
                <w:b w:val="0"/>
                <w:sz w:val="16"/>
              </w:rPr>
              <w:t>................................</w:t>
            </w:r>
          </w:p>
        </w:tc>
        <w:tc>
          <w:tcPr>
            <w:tcW w:type="dxa" w:w="1643"/>
            <w:vAlign w:val="center"/>
          </w:tcPr>
          <w:p>
            <w:pPr>
              <w:spacing w:after="20"/>
            </w:pPr>
            <w:r/>
            <w:r>
              <w:rPr>
                <w:rFonts w:ascii="Arial" w:hAnsi="Arial"/>
                <w:b w:val="0"/>
                <w:sz w:val="16"/>
              </w:rPr>
              <w:t>................</w:t>
            </w:r>
          </w:p>
        </w:tc>
        <w:tc>
          <w:tcPr>
            <w:tcW w:type="dxa" w:w="1643"/>
            <w:vAlign w:val="center"/>
          </w:tcPr>
          <w:p>
            <w:pPr>
              <w:spacing w:after="20"/>
            </w:pPr>
            <w:r/>
            <w:r>
              <w:rPr>
                <w:rFonts w:ascii="Arial" w:hAnsi="Arial"/>
                <w:b w:val="0"/>
                <w:sz w:val="16"/>
              </w:rPr>
              <w:t>........</w:t>
            </w:r>
          </w:p>
        </w:tc>
        <w:tc>
          <w:tcPr>
            <w:tcW w:type="dxa" w:w="1643"/>
            <w:vAlign w:val="center"/>
          </w:tcPr>
          <w:p>
            <w:pPr>
              <w:spacing w:after="20"/>
            </w:pPr>
            <w:r/>
            <w:r>
              <w:rPr>
                <w:rFonts w:ascii="Arial" w:hAnsi="Arial"/>
                <w:b w:val="0"/>
                <w:sz w:val="16"/>
              </w:rPr>
              <w:t>........</w:t>
            </w:r>
          </w:p>
        </w:tc>
      </w:tr>
      <w:tr>
        <w:tc>
          <w:tcPr>
            <w:tcW w:type="dxa" w:w="1643"/>
            <w:vAlign w:val="center"/>
          </w:tcPr>
          <w:p>
            <w:pPr>
              <w:spacing w:after="20"/>
            </w:pPr>
            <w:r/>
            <w:r>
              <w:rPr>
                <w:rFonts w:ascii="Arial" w:hAnsi="Arial"/>
                <w:b w:val="0"/>
                <w:sz w:val="16"/>
              </w:rPr>
              <w:t>4</w:t>
            </w:r>
          </w:p>
        </w:tc>
        <w:tc>
          <w:tcPr>
            <w:tcW w:type="dxa" w:w="1643"/>
            <w:vAlign w:val="center"/>
          </w:tcPr>
          <w:p>
            <w:pPr>
              <w:spacing w:after="20"/>
            </w:pPr>
            <w:r/>
            <w:r>
              <w:rPr>
                <w:rFonts w:ascii="Arial" w:hAnsi="Arial"/>
                <w:b w:val="0"/>
                <w:sz w:val="16"/>
              </w:rPr>
              <w:t>................................</w:t>
            </w:r>
          </w:p>
        </w:tc>
        <w:tc>
          <w:tcPr>
            <w:tcW w:type="dxa" w:w="1643"/>
            <w:vAlign w:val="center"/>
          </w:tcPr>
          <w:p>
            <w:pPr>
              <w:spacing w:after="20"/>
            </w:pPr>
            <w:r/>
            <w:r>
              <w:rPr>
                <w:rFonts w:ascii="Arial" w:hAnsi="Arial"/>
                <w:b w:val="0"/>
                <w:sz w:val="16"/>
              </w:rPr>
              <w:t>................................</w:t>
            </w:r>
          </w:p>
        </w:tc>
        <w:tc>
          <w:tcPr>
            <w:tcW w:type="dxa" w:w="1643"/>
            <w:vAlign w:val="center"/>
          </w:tcPr>
          <w:p>
            <w:pPr>
              <w:spacing w:after="20"/>
            </w:pPr>
            <w:r/>
            <w:r>
              <w:rPr>
                <w:rFonts w:ascii="Arial" w:hAnsi="Arial"/>
                <w:b w:val="0"/>
                <w:sz w:val="16"/>
              </w:rPr>
              <w:t>................</w:t>
            </w:r>
          </w:p>
        </w:tc>
        <w:tc>
          <w:tcPr>
            <w:tcW w:type="dxa" w:w="1643"/>
            <w:vAlign w:val="center"/>
          </w:tcPr>
          <w:p>
            <w:pPr>
              <w:spacing w:after="20"/>
            </w:pPr>
            <w:r/>
            <w:r>
              <w:rPr>
                <w:rFonts w:ascii="Arial" w:hAnsi="Arial"/>
                <w:b w:val="0"/>
                <w:sz w:val="16"/>
              </w:rPr>
              <w:t>........</w:t>
            </w:r>
          </w:p>
        </w:tc>
        <w:tc>
          <w:tcPr>
            <w:tcW w:type="dxa" w:w="1643"/>
            <w:vAlign w:val="center"/>
          </w:tcPr>
          <w:p>
            <w:pPr>
              <w:spacing w:after="20"/>
            </w:pPr>
            <w:r/>
            <w:r>
              <w:rPr>
                <w:rFonts w:ascii="Arial" w:hAnsi="Arial"/>
                <w:b w:val="0"/>
                <w:sz w:val="16"/>
              </w:rPr>
              <w:t>........</w:t>
            </w:r>
          </w:p>
        </w:tc>
      </w:tr>
    </w:tbl>
    <w:p>
      <w:r>
        <w:t>Total CPT: ....................     Total ECTS echivalent: ....................</w:t>
      </w:r>
    </w:p>
    <w:p>
      <w:pPr>
        <w:pStyle w:val="Heading3"/>
      </w:pPr>
      <w:r>
        <w:t>B. Situația programelor acreditate în sistemul ECTS (începând cu 1.09.2025)</w:t>
      </w:r>
    </w:p>
    <w:tbl>
      <w:tblPr>
        <w:tblStyle w:val="TableGrid"/>
        <w:tblW w:type="auto" w:w="0"/>
        <w:tblLook w:firstColumn="1" w:firstRow="1" w:lastColumn="0" w:lastRow="0" w:noHBand="0" w:noVBand="1" w:val="04A0"/>
      </w:tblPr>
      <w:tblGrid>
        <w:gridCol w:w="1972"/>
        <w:gridCol w:w="1972"/>
        <w:gridCol w:w="1972"/>
        <w:gridCol w:w="1972"/>
        <w:gridCol w:w="1972"/>
      </w:tblGrid>
      <w:tr>
        <w:tc>
          <w:tcPr>
            <w:tcW w:type="dxa" w:w="1972"/>
            <w:vAlign w:val="center"/>
            <w:shd w:fill="D9EAF7"/>
          </w:tcPr>
          <w:p>
            <w:pPr>
              <w:spacing w:after="20"/>
            </w:pPr>
            <w:r/>
            <w:r>
              <w:rPr>
                <w:rFonts w:ascii="Arial" w:hAnsi="Arial"/>
                <w:b/>
                <w:sz w:val="16"/>
              </w:rPr>
              <w:t>Nr. crt.</w:t>
            </w:r>
          </w:p>
        </w:tc>
        <w:tc>
          <w:tcPr>
            <w:tcW w:type="dxa" w:w="1972"/>
            <w:vAlign w:val="center"/>
            <w:shd w:fill="D9EAF7"/>
          </w:tcPr>
          <w:p>
            <w:pPr>
              <w:spacing w:after="20"/>
            </w:pPr>
            <w:r/>
            <w:r>
              <w:rPr>
                <w:rFonts w:ascii="Arial" w:hAnsi="Arial"/>
                <w:b/>
                <w:sz w:val="16"/>
              </w:rPr>
              <w:t>Program / furnizor</w:t>
            </w:r>
          </w:p>
        </w:tc>
        <w:tc>
          <w:tcPr>
            <w:tcW w:type="dxa" w:w="1972"/>
            <w:vAlign w:val="center"/>
            <w:shd w:fill="D9EAF7"/>
          </w:tcPr>
          <w:p>
            <w:pPr>
              <w:spacing w:after="20"/>
            </w:pPr>
            <w:r/>
            <w:r>
              <w:rPr>
                <w:rFonts w:ascii="Arial" w:hAnsi="Arial"/>
                <w:b/>
                <w:sz w:val="16"/>
              </w:rPr>
              <w:t>Nr. și data certificatului</w:t>
            </w:r>
          </w:p>
        </w:tc>
        <w:tc>
          <w:tcPr>
            <w:tcW w:type="dxa" w:w="1972"/>
            <w:vAlign w:val="center"/>
            <w:shd w:fill="D9EAF7"/>
          </w:tcPr>
          <w:p>
            <w:pPr>
              <w:spacing w:after="20"/>
            </w:pPr>
            <w:r/>
            <w:r>
              <w:rPr>
                <w:rFonts w:ascii="Arial" w:hAnsi="Arial"/>
                <w:b/>
                <w:sz w:val="16"/>
              </w:rPr>
              <w:t>Perioada</w:t>
            </w:r>
          </w:p>
        </w:tc>
        <w:tc>
          <w:tcPr>
            <w:tcW w:type="dxa" w:w="1972"/>
            <w:vAlign w:val="center"/>
            <w:shd w:fill="D9EAF7"/>
          </w:tcPr>
          <w:p>
            <w:pPr>
              <w:spacing w:after="20"/>
            </w:pPr>
            <w:r/>
            <w:r>
              <w:rPr>
                <w:rFonts w:ascii="Arial" w:hAnsi="Arial"/>
                <w:b/>
                <w:sz w:val="16"/>
              </w:rPr>
              <w:t>ECTS înscrise în certificat</w:t>
            </w:r>
          </w:p>
        </w:tc>
      </w:tr>
      <w:tr>
        <w:tc>
          <w:tcPr>
            <w:tcW w:type="dxa" w:w="1972"/>
            <w:vAlign w:val="center"/>
          </w:tcPr>
          <w:p>
            <w:pPr>
              <w:spacing w:after="20"/>
            </w:pPr>
            <w:r/>
            <w:r>
              <w:rPr>
                <w:rFonts w:ascii="Arial" w:hAnsi="Arial"/>
                <w:b w:val="0"/>
                <w:sz w:val="16"/>
              </w:rPr>
              <w:t>1</w:t>
            </w:r>
          </w:p>
        </w:tc>
        <w:tc>
          <w:tcPr>
            <w:tcW w:type="dxa" w:w="1972"/>
            <w:vAlign w:val="center"/>
          </w:tcPr>
          <w:p>
            <w:pPr>
              <w:spacing w:after="20"/>
            </w:pPr>
            <w:r/>
            <w:r>
              <w:rPr>
                <w:rFonts w:ascii="Arial" w:hAnsi="Arial"/>
                <w:b w:val="0"/>
                <w:sz w:val="16"/>
              </w:rPr>
              <w:t>................................</w:t>
            </w:r>
          </w:p>
        </w:tc>
        <w:tc>
          <w:tcPr>
            <w:tcW w:type="dxa" w:w="1972"/>
            <w:vAlign w:val="center"/>
          </w:tcPr>
          <w:p>
            <w:pPr>
              <w:spacing w:after="20"/>
            </w:pPr>
            <w:r/>
            <w:r>
              <w:rPr>
                <w:rFonts w:ascii="Arial" w:hAnsi="Arial"/>
                <w:b w:val="0"/>
                <w:sz w:val="16"/>
              </w:rPr>
              <w:t>................................</w:t>
            </w:r>
          </w:p>
        </w:tc>
        <w:tc>
          <w:tcPr>
            <w:tcW w:type="dxa" w:w="1972"/>
            <w:vAlign w:val="center"/>
          </w:tcPr>
          <w:p>
            <w:pPr>
              <w:spacing w:after="20"/>
            </w:pPr>
            <w:r/>
            <w:r>
              <w:rPr>
                <w:rFonts w:ascii="Arial" w:hAnsi="Arial"/>
                <w:b w:val="0"/>
                <w:sz w:val="16"/>
              </w:rPr>
              <w:t>................</w:t>
            </w:r>
          </w:p>
        </w:tc>
        <w:tc>
          <w:tcPr>
            <w:tcW w:type="dxa" w:w="1972"/>
            <w:vAlign w:val="center"/>
          </w:tcPr>
          <w:p>
            <w:pPr>
              <w:spacing w:after="20"/>
            </w:pPr>
            <w:r/>
            <w:r>
              <w:rPr>
                <w:rFonts w:ascii="Arial" w:hAnsi="Arial"/>
                <w:b w:val="0"/>
                <w:sz w:val="16"/>
              </w:rPr>
              <w:t>........</w:t>
            </w:r>
          </w:p>
        </w:tc>
      </w:tr>
      <w:tr>
        <w:tc>
          <w:tcPr>
            <w:tcW w:type="dxa" w:w="1972"/>
            <w:vAlign w:val="center"/>
          </w:tcPr>
          <w:p>
            <w:pPr>
              <w:spacing w:after="20"/>
            </w:pPr>
            <w:r/>
            <w:r>
              <w:rPr>
                <w:rFonts w:ascii="Arial" w:hAnsi="Arial"/>
                <w:b w:val="0"/>
                <w:sz w:val="16"/>
              </w:rPr>
              <w:t>2</w:t>
            </w:r>
          </w:p>
        </w:tc>
        <w:tc>
          <w:tcPr>
            <w:tcW w:type="dxa" w:w="1972"/>
            <w:vAlign w:val="center"/>
          </w:tcPr>
          <w:p>
            <w:pPr>
              <w:spacing w:after="20"/>
            </w:pPr>
            <w:r/>
            <w:r>
              <w:rPr>
                <w:rFonts w:ascii="Arial" w:hAnsi="Arial"/>
                <w:b w:val="0"/>
                <w:sz w:val="16"/>
              </w:rPr>
              <w:t>................................</w:t>
            </w:r>
          </w:p>
        </w:tc>
        <w:tc>
          <w:tcPr>
            <w:tcW w:type="dxa" w:w="1972"/>
            <w:vAlign w:val="center"/>
          </w:tcPr>
          <w:p>
            <w:pPr>
              <w:spacing w:after="20"/>
            </w:pPr>
            <w:r/>
            <w:r>
              <w:rPr>
                <w:rFonts w:ascii="Arial" w:hAnsi="Arial"/>
                <w:b w:val="0"/>
                <w:sz w:val="16"/>
              </w:rPr>
              <w:t>................................</w:t>
            </w:r>
          </w:p>
        </w:tc>
        <w:tc>
          <w:tcPr>
            <w:tcW w:type="dxa" w:w="1972"/>
            <w:vAlign w:val="center"/>
          </w:tcPr>
          <w:p>
            <w:pPr>
              <w:spacing w:after="20"/>
            </w:pPr>
            <w:r/>
            <w:r>
              <w:rPr>
                <w:rFonts w:ascii="Arial" w:hAnsi="Arial"/>
                <w:b w:val="0"/>
                <w:sz w:val="16"/>
              </w:rPr>
              <w:t>................</w:t>
            </w:r>
          </w:p>
        </w:tc>
        <w:tc>
          <w:tcPr>
            <w:tcW w:type="dxa" w:w="1972"/>
            <w:vAlign w:val="center"/>
          </w:tcPr>
          <w:p>
            <w:pPr>
              <w:spacing w:after="20"/>
            </w:pPr>
            <w:r/>
            <w:r>
              <w:rPr>
                <w:rFonts w:ascii="Arial" w:hAnsi="Arial"/>
                <w:b w:val="0"/>
                <w:sz w:val="16"/>
              </w:rPr>
              <w:t>........</w:t>
            </w:r>
          </w:p>
        </w:tc>
      </w:tr>
      <w:tr>
        <w:tc>
          <w:tcPr>
            <w:tcW w:type="dxa" w:w="1972"/>
            <w:vAlign w:val="center"/>
          </w:tcPr>
          <w:p>
            <w:pPr>
              <w:spacing w:after="20"/>
            </w:pPr>
            <w:r/>
            <w:r>
              <w:rPr>
                <w:rFonts w:ascii="Arial" w:hAnsi="Arial"/>
                <w:b w:val="0"/>
                <w:sz w:val="16"/>
              </w:rPr>
              <w:t>3</w:t>
            </w:r>
          </w:p>
        </w:tc>
        <w:tc>
          <w:tcPr>
            <w:tcW w:type="dxa" w:w="1972"/>
            <w:vAlign w:val="center"/>
          </w:tcPr>
          <w:p>
            <w:pPr>
              <w:spacing w:after="20"/>
            </w:pPr>
            <w:r/>
            <w:r>
              <w:rPr>
                <w:rFonts w:ascii="Arial" w:hAnsi="Arial"/>
                <w:b w:val="0"/>
                <w:sz w:val="16"/>
              </w:rPr>
              <w:t>................................</w:t>
            </w:r>
          </w:p>
        </w:tc>
        <w:tc>
          <w:tcPr>
            <w:tcW w:type="dxa" w:w="1972"/>
            <w:vAlign w:val="center"/>
          </w:tcPr>
          <w:p>
            <w:pPr>
              <w:spacing w:after="20"/>
            </w:pPr>
            <w:r/>
            <w:r>
              <w:rPr>
                <w:rFonts w:ascii="Arial" w:hAnsi="Arial"/>
                <w:b w:val="0"/>
                <w:sz w:val="16"/>
              </w:rPr>
              <w:t>................................</w:t>
            </w:r>
          </w:p>
        </w:tc>
        <w:tc>
          <w:tcPr>
            <w:tcW w:type="dxa" w:w="1972"/>
            <w:vAlign w:val="center"/>
          </w:tcPr>
          <w:p>
            <w:pPr>
              <w:spacing w:after="20"/>
            </w:pPr>
            <w:r/>
            <w:r>
              <w:rPr>
                <w:rFonts w:ascii="Arial" w:hAnsi="Arial"/>
                <w:b w:val="0"/>
                <w:sz w:val="16"/>
              </w:rPr>
              <w:t>................</w:t>
            </w:r>
          </w:p>
        </w:tc>
        <w:tc>
          <w:tcPr>
            <w:tcW w:type="dxa" w:w="1972"/>
            <w:vAlign w:val="center"/>
          </w:tcPr>
          <w:p>
            <w:pPr>
              <w:spacing w:after="20"/>
            </w:pPr>
            <w:r/>
            <w:r>
              <w:rPr>
                <w:rFonts w:ascii="Arial" w:hAnsi="Arial"/>
                <w:b w:val="0"/>
                <w:sz w:val="16"/>
              </w:rPr>
              <w:t>........</w:t>
            </w:r>
          </w:p>
        </w:tc>
      </w:tr>
    </w:tbl>
    <w:p>
      <w:r>
        <w:t>Total ECTS din programe acreditate: ....................</w:t>
      </w:r>
    </w:p>
    <w:p>
      <w:pPr>
        <w:pStyle w:val="Heading3"/>
      </w:pPr>
      <w:r>
        <w:t>C. Concluziile CFDCD</w:t>
      </w:r>
    </w:p>
    <w:p>
      <w:pPr>
        <w:pStyle w:val="ListBullet"/>
      </w:pPr>
      <w:r>
        <w:t>Credite luate în calcul pentru condiția de formare: CPT .......... / ECTS echivalent ..........; ECTS directe ..........; total .......... ECTS.</w:t>
      </w:r>
    </w:p>
    <w:p>
      <w:pPr>
        <w:pStyle w:val="ListBullet"/>
      </w:pPr>
      <w:r>
        <w:t>Pragul aplicabil: minimum 15 ECTS / minimum 90 CPT (după caz, în funcție de intervalul legal și de dispozițiile tranzitorii).</w:t>
      </w:r>
    </w:p>
    <w:p>
      <w:pPr>
        <w:pStyle w:val="ListBullet"/>
      </w:pPr>
      <w:r>
        <w:t>Rezultatul verificării: [ ] condiție îndeplinită   [ ] condiție neîndeplinită   [ ] documente insuficiente – se solicită completări.</w:t>
      </w:r>
    </w:p>
    <w:p>
      <w:pPr>
        <w:pStyle w:val="ListBullet"/>
      </w:pPr>
      <w:r>
        <w:t>Credite/activități recunoscute suplimentar în portofoliul profesional, dar care nu se includ în pragul obligatoriu: ........................................................................................................</w:t>
      </w:r>
    </w:p>
    <w:p>
      <w:r>
        <w:t>Motivarea/consemnarea verificărilor: ....................................................................................</w:t>
      </w:r>
    </w:p>
    <w:p>
      <w:r>
        <w:t>................................................................................................................................................</w:t>
      </w:r>
    </w:p>
    <w:p>
      <w:r>
        <w:t>Semnături membri CFDCD: .....................................................................................................</w:t>
      </w:r>
    </w:p>
    <w:p>
      <w:r>
        <w:t>Validat în Consiliul de administrație prin Hotărârea/Procesul-verbal nr. .......... din ..........</w:t>
      </w:r>
    </w:p>
    <w:p>
      <w:r>
        <w:t>Director, ....................................................       Coordonator CFDCD, ....................................................</w:t>
      </w:r>
    </w:p>
    <w:p>
      <w:pPr>
        <w:pStyle w:val="Heading3"/>
      </w:pPr>
      <w:r>
        <w:t>D. Mențiune separată pentru programele de abilitare funcțională/asimilate</w:t>
      </w:r>
    </w:p>
    <w:p>
      <w:r>
        <w:t>Pentru aceste programe se completează distinct grila de evaluare prevăzută în anexa nr. 3 la Procedura nr. 30.271/20.08.2025. În procesul-verbal se consemnează programul, documentele suport, rezultatul evaluării conform grilei, numărul de ECTS acordat, validarea Consiliului de administrație și emiterea adeverinței. Aceste ECTS se evidențiază în portofoliul profesional, dar nu se adaugă la cele 15 ECTS necesare condiției obligatorii de formare.</w:t>
      </w:r>
    </w:p>
    <w:p>
      <w:r>
        <w:t>Temei: Procedura nr. 30.271/20.08.2025, art. 7–9 și OMEC nr. 3.986/2025, art. 30 alin. (5); Procedura nr. 31.140/2025, art. 14 alin. (2).</w:t>
      </w:r>
    </w:p>
    <w:p>
      <w:pPr>
        <w:pStyle w:val="Heading1"/>
      </w:pPr>
      <w:r>
        <w:t>8. Prima de carieră didactică – utilizare în anul școlar 2025–2026</w:t>
      </w:r>
    </w:p>
    <w:p>
      <w:r>
        <w:t>Regimul primei pentru anul școlar 2025–2026 este cel prevăzut de OUG nr. 58/2023, astfel cum a fost modificată prin OUG nr. 39/05.05.2026 și aprobată prin Legea nr. 163/05.08.2026. Nu se aplică automat categoriile de cheltuieli din forma inițială a OUG nr. 58/2023, deoarece pentru anul 2025–2026 a fost introdus un regim special.</w:t>
      </w:r>
    </w:p>
    <w:p>
      <w:pPr>
        <w:pStyle w:val="Heading2"/>
      </w:pPr>
      <w:r>
        <w:t>8.1. Beneficiari și cuantum</w:t>
      </w:r>
    </w:p>
    <w:p>
      <w:r>
        <w:t>Pentru anul școlar 2025–2026, prima are valoarea nominală de 1.500 lei net, acordată pe suport electronic, pentru personalul didactic și didactic auxiliar din învățământul preuniversitar de stat aflat în activitate în anul școlar 2025–2026. Reglementarea cuprinde și categoriile de personal din învățământul universitar de stat prevăzute expres de OUG nr. 58/2023, art. 2 alin. (1^1), coroborat cu art. 3 alin. (3^1).</w:t>
      </w:r>
    </w:p>
    <w:p>
      <w:pPr>
        <w:pStyle w:val="Heading2"/>
      </w:pPr>
      <w:r>
        <w:t>8.2. Ce cursuri pot fi achitate</w:t>
      </w:r>
    </w:p>
    <w:p>
      <w:r>
        <w:t>Din valoarea de 1.500 lei, minimum 65% – adică minimum 975 lei – trebuie utilizat pentru cursuri de pregătire profesională avizate sau acreditate de MEC și incluse în listele publicate de minister. Pentru evitarea respingerii cheltuielii, responsabilul de formare trebuie să verifice ca programul și furnizorul să figureze în lista MEC aplicabilă primei de carieră didactică, la data achiziției.</w:t>
      </w:r>
    </w:p>
    <w:p>
      <w:r>
        <w:t>Pentru anul 2025–2026, categoriile prevăzute expres sunt: (a) cursuri de pregătire profesională, minimum 65% din valoarea primei; (b) achiziționarea de cărți de specialitate și cheltuieli asimilate; (c) alte cheltuieli necesare derulării actului educațional, în legătură directă cu activitatea didactică. Categoriile b) și c) sunt supuse listei aprobate de ministrul educației. Nu trebuie presupus că orice produs IT sau orice curs comercial este eligibil.</w:t>
      </w:r>
    </w:p>
    <w:p>
      <w:r>
        <w:t>Temei: OUG nr. 58/2023, art. 2 alin. (1^1)–(1^3), introdus/modificat prin OUG nr. 39/05.05.2026; art. 3 alin. (3^1), introdus prin OUG nr. 39/2026. OUG nr. 39/2026, art. I pct. 1–2.</w:t>
      </w:r>
    </w:p>
    <w:p>
      <w:pPr>
        <w:pStyle w:val="Heading2"/>
      </w:pPr>
      <w:r>
        <w:t>8.3. Termenul de utilizare și obligația de încărcare a certificatului</w:t>
      </w:r>
    </w:p>
    <w:p>
      <w:r>
        <w:t>Legea nr. 163/05.08.2026 a introdus/confirmat, pentru beneficiarii primei aferente anului școlar 2025–2026 care rămân în activitate în sistem și în anul școlar 2026–2027, posibilitatea utilizării primei până la 31 august 2027 (pentru învățământul preuniversitar). Pentru învățământul universitar, termenul este 30 septembrie 2027.</w:t>
      </w:r>
    </w:p>
    <w:p>
      <w:r>
        <w:t>Beneficiarul care utilizează prima pentru achiziționarea cursurilor de formare profesională are obligația să încarce în aplicația informatică dezvoltată de STS certificatul care atestă absolvirea/participarea la curs, în maximum 5 luni de la utilizarea sumei și nu mai târziu de 31 martie 2028.</w:t>
      </w:r>
    </w:p>
    <w:p>
      <w:r>
        <w:t>Temei: OUG nr. 58/2023, art. 6^1 alin. (14^1) și alin. (22), astfel cum au fost modificate/completate prin Legea nr. 163/05.08.2026, art. unic pct. 5 și pct. 8.</w:t>
      </w:r>
    </w:p>
    <w:p>
      <w:pPr>
        <w:pStyle w:val="Heading2"/>
      </w:pPr>
      <w:r>
        <w:t>8.4. Recomandări practice pentru responsabilii de formare</w:t>
      </w:r>
    </w:p>
    <w:p>
      <w:pPr>
        <w:pStyle w:val="ListBullet"/>
      </w:pPr>
      <w:r>
        <w:t>înainte de înscriere/plată, verificați lista MEC actualizată a cursurilor acreditate și avizate și lista furnizorilor eligibili;</w:t>
      </w:r>
    </w:p>
    <w:p>
      <w:pPr>
        <w:pStyle w:val="ListBullet"/>
      </w:pPr>
      <w:r>
        <w:t>solicitați furnizorului denumirea exactă a programului, dovada avizării/acreditării și informații clare privind certificatul emis;</w:t>
      </w:r>
    </w:p>
    <w:p>
      <w:pPr>
        <w:pStyle w:val="ListBullet"/>
      </w:pPr>
      <w:r>
        <w:t>păstrați factura/bonul și certificatul de participare/absolvire; beneficiarul are obligația încărcării certificatului în aplicația STS;</w:t>
      </w:r>
    </w:p>
    <w:p>
      <w:pPr>
        <w:pStyle w:val="ListBullet"/>
      </w:pPr>
      <w:r>
        <w:t>comunicați cadrelor didactice că minimum 975 lei din cei 1.500 lei trebuie alocați cursurilor eligibile;</w:t>
      </w:r>
    </w:p>
    <w:p>
      <w:pPr>
        <w:pStyle w:val="ListBullet"/>
      </w:pPr>
      <w:r>
        <w:t>nu prezentați ca eligibil un curs doar pentru că este organizat de o entitate cunoscută sau are legătură generală cu educația; criteriul relevant este includerea în listele MEC pentru măsura respectivă.</w:t>
      </w:r>
    </w:p>
    <w:p>
      <w:r>
        <w:t>Pagina oficială MEC cu informații și liste: https://edu.ro/prima_cariera_didactica_info_liste (listele pot fi actualizate pe durata proiectului).</w:t>
      </w:r>
    </w:p>
    <w:p>
      <w:pPr>
        <w:pStyle w:val="Heading1"/>
      </w:pPr>
      <w:r>
        <w:t>9. Sinteză pentru comunicarea în școli</w:t>
      </w:r>
    </w:p>
    <w:tbl>
      <w:tblPr>
        <w:tblStyle w:val="TableGrid"/>
        <w:tblW w:type="auto" w:w="0"/>
        <w:jc w:val="center"/>
        <w:tblLook w:firstColumn="1" w:firstRow="1" w:lastColumn="0" w:lastRow="0" w:noHBand="0" w:noVBand="1" w:val="04A0"/>
      </w:tblPr>
      <w:tblGrid>
        <w:gridCol w:w="3286"/>
        <w:gridCol w:w="3286"/>
        <w:gridCol w:w="3286"/>
      </w:tblGrid>
      <w:tr>
        <w:tc>
          <w:tcPr>
            <w:tcW w:type="dxa" w:w="3286"/>
            <w:vAlign w:val="center"/>
            <w:shd w:fill="D9EAF7"/>
          </w:tcPr>
          <w:p>
            <w:pPr>
              <w:spacing w:after="20"/>
            </w:pPr>
            <w:r/>
            <w:r>
              <w:rPr>
                <w:rFonts w:ascii="Arial" w:hAnsi="Arial"/>
                <w:b/>
                <w:sz w:val="16"/>
              </w:rPr>
              <w:t>Subiect</w:t>
            </w:r>
          </w:p>
        </w:tc>
        <w:tc>
          <w:tcPr>
            <w:tcW w:type="dxa" w:w="3286"/>
            <w:vAlign w:val="center"/>
            <w:shd w:fill="D9EAF7"/>
          </w:tcPr>
          <w:p>
            <w:pPr>
              <w:spacing w:after="20"/>
            </w:pPr>
            <w:r/>
            <w:r>
              <w:rPr>
                <w:rFonts w:ascii="Arial" w:hAnsi="Arial"/>
                <w:b/>
                <w:sz w:val="16"/>
              </w:rPr>
              <w:t>Regula esențială</w:t>
            </w:r>
          </w:p>
        </w:tc>
        <w:tc>
          <w:tcPr>
            <w:tcW w:type="dxa" w:w="3286"/>
            <w:vAlign w:val="center"/>
            <w:shd w:fill="D9EAF7"/>
          </w:tcPr>
          <w:p>
            <w:pPr>
              <w:spacing w:after="20"/>
            </w:pPr>
            <w:r/>
            <w:r>
              <w:rPr>
                <w:rFonts w:ascii="Arial" w:hAnsi="Arial"/>
                <w:b/>
                <w:sz w:val="16"/>
              </w:rPr>
              <w:t>Temei principal</w:t>
            </w:r>
          </w:p>
        </w:tc>
      </w:tr>
      <w:tr>
        <w:tc>
          <w:tcPr>
            <w:tcW w:type="dxa" w:w="3286"/>
            <w:vAlign w:val="center"/>
          </w:tcPr>
          <w:p>
            <w:pPr>
              <w:spacing w:after="20"/>
            </w:pPr>
            <w:r/>
            <w:r>
              <w:rPr>
                <w:rFonts w:ascii="Arial" w:hAnsi="Arial"/>
                <w:b w:val="0"/>
                <w:sz w:val="15"/>
              </w:rPr>
              <w:t>CFDCD</w:t>
            </w:r>
          </w:p>
        </w:tc>
        <w:tc>
          <w:tcPr>
            <w:tcW w:type="dxa" w:w="3286"/>
            <w:vAlign w:val="center"/>
          </w:tcPr>
          <w:p>
            <w:pPr>
              <w:spacing w:after="20"/>
            </w:pPr>
            <w:r/>
            <w:r>
              <w:rPr>
                <w:rFonts w:ascii="Arial" w:hAnsi="Arial"/>
                <w:b w:val="0"/>
                <w:sz w:val="15"/>
              </w:rPr>
              <w:t>Organism permanent, prin decizia directorului; identifică nevoi, monitorizează formarea și gestionează creditele.</w:t>
            </w:r>
          </w:p>
        </w:tc>
        <w:tc>
          <w:tcPr>
            <w:tcW w:type="dxa" w:w="3286"/>
            <w:vAlign w:val="center"/>
          </w:tcPr>
          <w:p>
            <w:pPr>
              <w:spacing w:after="20"/>
            </w:pPr>
            <w:r/>
            <w:r>
              <w:rPr>
                <w:rFonts w:ascii="Arial" w:hAnsi="Arial"/>
                <w:b w:val="0"/>
                <w:sz w:val="15"/>
              </w:rPr>
              <w:t>OMEC 3986/2025, art. 28</w:t>
            </w:r>
          </w:p>
        </w:tc>
      </w:tr>
      <w:tr>
        <w:tc>
          <w:tcPr>
            <w:tcW w:type="dxa" w:w="3286"/>
            <w:vAlign w:val="center"/>
          </w:tcPr>
          <w:p>
            <w:pPr>
              <w:spacing w:after="20"/>
            </w:pPr>
            <w:r/>
            <w:r>
              <w:rPr>
                <w:rFonts w:ascii="Arial" w:hAnsi="Arial"/>
                <w:b w:val="0"/>
                <w:sz w:val="15"/>
              </w:rPr>
              <w:t>Pragul de formare</w:t>
            </w:r>
          </w:p>
        </w:tc>
        <w:tc>
          <w:tcPr>
            <w:tcW w:type="dxa" w:w="3286"/>
            <w:vAlign w:val="center"/>
          </w:tcPr>
          <w:p>
            <w:pPr>
              <w:spacing w:after="20"/>
            </w:pPr>
            <w:r/>
            <w:r>
              <w:rPr>
                <w:rFonts w:ascii="Arial" w:hAnsi="Arial"/>
                <w:b w:val="0"/>
                <w:sz w:val="15"/>
              </w:rPr>
              <w:t>Minimum 15 ECTS la fiecare 5 ani școlari de activitate la catedră; tranzitoriu, 90 CPT pentru intervalele care includ 2023–2024.</w:t>
            </w:r>
          </w:p>
        </w:tc>
        <w:tc>
          <w:tcPr>
            <w:tcW w:type="dxa" w:w="3286"/>
            <w:vAlign w:val="center"/>
          </w:tcPr>
          <w:p>
            <w:pPr>
              <w:spacing w:after="20"/>
            </w:pPr>
            <w:r/>
            <w:r>
              <w:rPr>
                <w:rFonts w:ascii="Arial" w:hAnsi="Arial"/>
                <w:b w:val="0"/>
                <w:sz w:val="15"/>
              </w:rPr>
              <w:t>OMEC 3986/2025, art. 29; Procedura 31140/2025, art. 5 și 7</w:t>
            </w:r>
          </w:p>
        </w:tc>
      </w:tr>
      <w:tr>
        <w:tc>
          <w:tcPr>
            <w:tcW w:type="dxa" w:w="3286"/>
            <w:vAlign w:val="center"/>
          </w:tcPr>
          <w:p>
            <w:pPr>
              <w:spacing w:after="20"/>
            </w:pPr>
            <w:r/>
            <w:r>
              <w:rPr>
                <w:rFonts w:ascii="Arial" w:hAnsi="Arial"/>
                <w:b w:val="0"/>
                <w:sz w:val="15"/>
              </w:rPr>
              <w:t>CPT–ECTS</w:t>
            </w:r>
          </w:p>
        </w:tc>
        <w:tc>
          <w:tcPr>
            <w:tcW w:type="dxa" w:w="3286"/>
            <w:vAlign w:val="center"/>
          </w:tcPr>
          <w:p>
            <w:pPr>
              <w:spacing w:after="20"/>
            </w:pPr>
            <w:r/>
            <w:r>
              <w:rPr>
                <w:rFonts w:ascii="Arial" w:hAnsi="Arial"/>
                <w:b w:val="0"/>
                <w:sz w:val="15"/>
              </w:rPr>
              <w:t>6 CPT = 1 ECTS; se păstrează evidența în ambele sisteme pentru programele anterioare datei de 1.09.2025.</w:t>
            </w:r>
          </w:p>
        </w:tc>
        <w:tc>
          <w:tcPr>
            <w:tcW w:type="dxa" w:w="3286"/>
            <w:vAlign w:val="center"/>
          </w:tcPr>
          <w:p>
            <w:pPr>
              <w:spacing w:after="20"/>
            </w:pPr>
            <w:r/>
            <w:r>
              <w:rPr>
                <w:rFonts w:ascii="Arial" w:hAnsi="Arial"/>
                <w:b w:val="0"/>
                <w:sz w:val="15"/>
              </w:rPr>
              <w:t>OMEC 3986/2025, art. 33 și 35</w:t>
            </w:r>
          </w:p>
        </w:tc>
      </w:tr>
      <w:tr>
        <w:tc>
          <w:tcPr>
            <w:tcW w:type="dxa" w:w="3286"/>
            <w:vAlign w:val="center"/>
          </w:tcPr>
          <w:p>
            <w:pPr>
              <w:spacing w:after="20"/>
            </w:pPr>
            <w:r/>
            <w:r>
              <w:rPr>
                <w:rFonts w:ascii="Arial" w:hAnsi="Arial"/>
                <w:b w:val="0"/>
                <w:sz w:val="15"/>
              </w:rPr>
              <w:t>Ore–ECTS</w:t>
            </w:r>
          </w:p>
        </w:tc>
        <w:tc>
          <w:tcPr>
            <w:tcW w:type="dxa" w:w="3286"/>
            <w:vAlign w:val="center"/>
          </w:tcPr>
          <w:p>
            <w:pPr>
              <w:spacing w:after="20"/>
            </w:pPr>
            <w:r/>
            <w:r>
              <w:rPr>
                <w:rFonts w:ascii="Arial" w:hAnsi="Arial"/>
                <w:b w:val="0"/>
                <w:sz w:val="15"/>
              </w:rPr>
              <w:t>1 ECTS = 25 ore volum de pregătire, dar orele nu se convertesc automat de CFDCD; se preia creditarea programului sau se aplică procedura/grila specifică.</w:t>
            </w:r>
          </w:p>
        </w:tc>
        <w:tc>
          <w:tcPr>
            <w:tcW w:type="dxa" w:w="3286"/>
            <w:vAlign w:val="center"/>
          </w:tcPr>
          <w:p>
            <w:pPr>
              <w:spacing w:after="20"/>
            </w:pPr>
            <w:r/>
            <w:r>
              <w:rPr>
                <w:rFonts w:ascii="Arial" w:hAnsi="Arial"/>
                <w:b w:val="0"/>
                <w:sz w:val="15"/>
              </w:rPr>
              <w:t>OMEC 3986/2025, art. 6</w:t>
            </w:r>
          </w:p>
        </w:tc>
      </w:tr>
      <w:tr>
        <w:tc>
          <w:tcPr>
            <w:tcW w:type="dxa" w:w="3286"/>
            <w:vAlign w:val="center"/>
          </w:tcPr>
          <w:p>
            <w:pPr>
              <w:spacing w:after="20"/>
            </w:pPr>
            <w:r/>
            <w:r>
              <w:rPr>
                <w:rFonts w:ascii="Arial" w:hAnsi="Arial"/>
                <w:b w:val="0"/>
                <w:sz w:val="15"/>
              </w:rPr>
              <w:t>Obligație la 2 ani</w:t>
            </w:r>
          </w:p>
        </w:tc>
        <w:tc>
          <w:tcPr>
            <w:tcW w:type="dxa" w:w="3286"/>
            <w:vAlign w:val="center"/>
          </w:tcPr>
          <w:p>
            <w:pPr>
              <w:spacing w:after="20"/>
            </w:pPr>
            <w:r/>
            <w:r>
              <w:rPr>
                <w:rFonts w:ascii="Arial" w:hAnsi="Arial"/>
                <w:b w:val="0"/>
                <w:sz w:val="15"/>
              </w:rPr>
              <w:t>Cel puțin un program acreditat o dată la 2 ani și curs/program de prim ajutor periodic; se aplică și celor care au îndeplinit pragul de 15 ECTS.</w:t>
            </w:r>
          </w:p>
        </w:tc>
        <w:tc>
          <w:tcPr>
            <w:tcW w:type="dxa" w:w="3286"/>
            <w:vAlign w:val="center"/>
          </w:tcPr>
          <w:p>
            <w:pPr>
              <w:spacing w:after="20"/>
            </w:pPr>
            <w:r/>
            <w:r>
              <w:rPr>
                <w:rFonts w:ascii="Arial" w:hAnsi="Arial"/>
                <w:b w:val="0"/>
                <w:sz w:val="15"/>
              </w:rPr>
              <w:t>OMEC 3986/2025, art. 31; Procedura 31140/2025, art. 15</w:t>
            </w:r>
          </w:p>
        </w:tc>
      </w:tr>
      <w:tr>
        <w:tc>
          <w:tcPr>
            <w:tcW w:type="dxa" w:w="3286"/>
            <w:vAlign w:val="center"/>
          </w:tcPr>
          <w:p>
            <w:pPr>
              <w:spacing w:after="20"/>
            </w:pPr>
            <w:r/>
            <w:r>
              <w:rPr>
                <w:rFonts w:ascii="Arial" w:hAnsi="Arial"/>
                <w:b w:val="0"/>
                <w:sz w:val="15"/>
              </w:rPr>
              <w:t>Abilitare funcțională</w:t>
            </w:r>
          </w:p>
        </w:tc>
        <w:tc>
          <w:tcPr>
            <w:tcW w:type="dxa" w:w="3286"/>
            <w:vAlign w:val="center"/>
          </w:tcPr>
          <w:p>
            <w:pPr>
              <w:spacing w:after="20"/>
            </w:pPr>
            <w:r/>
            <w:r>
              <w:rPr>
                <w:rFonts w:ascii="Arial" w:hAnsi="Arial"/>
                <w:b w:val="0"/>
                <w:sz w:val="15"/>
              </w:rPr>
              <w:t>Se recunoaște prin Procedura 30271/2025; ECTS acordate se valorifică în portofoliu, nu la pragul de 15 ECTS.</w:t>
            </w:r>
          </w:p>
        </w:tc>
        <w:tc>
          <w:tcPr>
            <w:tcW w:type="dxa" w:w="3286"/>
            <w:vAlign w:val="center"/>
          </w:tcPr>
          <w:p>
            <w:pPr>
              <w:spacing w:after="20"/>
            </w:pPr>
            <w:r/>
            <w:r>
              <w:rPr>
                <w:rFonts w:ascii="Arial" w:hAnsi="Arial"/>
                <w:b w:val="0"/>
                <w:sz w:val="15"/>
              </w:rPr>
              <w:t>OMEC 3986/2025, art. 5 și 30 alin. (5); Procedura 30271/2025</w:t>
            </w:r>
          </w:p>
        </w:tc>
      </w:tr>
      <w:tr>
        <w:tc>
          <w:tcPr>
            <w:tcW w:type="dxa" w:w="3286"/>
            <w:vAlign w:val="center"/>
          </w:tcPr>
          <w:p>
            <w:pPr>
              <w:spacing w:after="20"/>
            </w:pPr>
            <w:r/>
            <w:r>
              <w:rPr>
                <w:rFonts w:ascii="Arial" w:hAnsi="Arial"/>
                <w:b w:val="0"/>
                <w:sz w:val="15"/>
              </w:rPr>
              <w:t>Prima de carieră</w:t>
            </w:r>
          </w:p>
        </w:tc>
        <w:tc>
          <w:tcPr>
            <w:tcW w:type="dxa" w:w="3286"/>
            <w:vAlign w:val="center"/>
          </w:tcPr>
          <w:p>
            <w:pPr>
              <w:spacing w:after="20"/>
            </w:pPr>
            <w:r/>
            <w:r>
              <w:rPr>
                <w:rFonts w:ascii="Arial" w:hAnsi="Arial"/>
                <w:b w:val="0"/>
                <w:sz w:val="15"/>
              </w:rPr>
              <w:t>1.500 lei net; minimum 975 lei pentru cursuri MEC avizate/acreditate din lista oficială.</w:t>
            </w:r>
          </w:p>
        </w:tc>
        <w:tc>
          <w:tcPr>
            <w:tcW w:type="dxa" w:w="3286"/>
            <w:vAlign w:val="center"/>
          </w:tcPr>
          <w:p>
            <w:pPr>
              <w:spacing w:after="20"/>
            </w:pPr>
            <w:r/>
            <w:r>
              <w:rPr>
                <w:rFonts w:ascii="Arial" w:hAnsi="Arial"/>
                <w:b w:val="0"/>
                <w:sz w:val="15"/>
              </w:rPr>
              <w:t>OUG 58/2023, art. 2 și 3, modificate prin OUG 39/2026</w:t>
            </w:r>
          </w:p>
        </w:tc>
      </w:tr>
      <w:tr>
        <w:tc>
          <w:tcPr>
            <w:tcW w:type="dxa" w:w="3286"/>
            <w:vAlign w:val="center"/>
          </w:tcPr>
          <w:p>
            <w:pPr>
              <w:spacing w:after="20"/>
            </w:pPr>
            <w:r/>
            <w:r>
              <w:rPr>
                <w:rFonts w:ascii="Arial" w:hAnsi="Arial"/>
                <w:b w:val="0"/>
                <w:sz w:val="15"/>
              </w:rPr>
              <w:t>Termen utilizare</w:t>
            </w:r>
          </w:p>
        </w:tc>
        <w:tc>
          <w:tcPr>
            <w:tcW w:type="dxa" w:w="3286"/>
            <w:vAlign w:val="center"/>
          </w:tcPr>
          <w:p>
            <w:pPr>
              <w:spacing w:after="20"/>
            </w:pPr>
            <w:r/>
            <w:r>
              <w:rPr>
                <w:rFonts w:ascii="Arial" w:hAnsi="Arial"/>
                <w:b w:val="0"/>
                <w:sz w:val="15"/>
              </w:rPr>
              <w:t>Până la 31.08.2027 pentru personalul preuniversitar care rămâne în activitate în 2026–2027.</w:t>
            </w:r>
          </w:p>
        </w:tc>
        <w:tc>
          <w:tcPr>
            <w:tcW w:type="dxa" w:w="3286"/>
            <w:vAlign w:val="center"/>
          </w:tcPr>
          <w:p>
            <w:pPr>
              <w:spacing w:after="20"/>
            </w:pPr>
            <w:r/>
            <w:r>
              <w:rPr>
                <w:rFonts w:ascii="Arial" w:hAnsi="Arial"/>
                <w:b w:val="0"/>
                <w:sz w:val="15"/>
              </w:rPr>
              <w:t>Legea 163/2026, art. unic pct. 5</w:t>
            </w:r>
          </w:p>
        </w:tc>
      </w:tr>
      <w:tr>
        <w:tc>
          <w:tcPr>
            <w:tcW w:type="dxa" w:w="3286"/>
            <w:vAlign w:val="center"/>
          </w:tcPr>
          <w:p>
            <w:pPr>
              <w:spacing w:after="20"/>
            </w:pPr>
            <w:r/>
            <w:r>
              <w:rPr>
                <w:rFonts w:ascii="Arial" w:hAnsi="Arial"/>
                <w:b w:val="0"/>
                <w:sz w:val="15"/>
              </w:rPr>
              <w:t>Certificat curs</w:t>
            </w:r>
          </w:p>
        </w:tc>
        <w:tc>
          <w:tcPr>
            <w:tcW w:type="dxa" w:w="3286"/>
            <w:vAlign w:val="center"/>
          </w:tcPr>
          <w:p>
            <w:pPr>
              <w:spacing w:after="20"/>
            </w:pPr>
            <w:r/>
            <w:r>
              <w:rPr>
                <w:rFonts w:ascii="Arial" w:hAnsi="Arial"/>
                <w:b w:val="0"/>
                <w:sz w:val="15"/>
              </w:rPr>
              <w:t>Încărcare în aplicația STS în max. 5 luni de la plată/utilizare, dar nu mai târziu de 31.03.2028.</w:t>
            </w:r>
          </w:p>
        </w:tc>
        <w:tc>
          <w:tcPr>
            <w:tcW w:type="dxa" w:w="3286"/>
            <w:vAlign w:val="center"/>
          </w:tcPr>
          <w:p>
            <w:pPr>
              <w:spacing w:after="20"/>
            </w:pPr>
            <w:r/>
            <w:r>
              <w:rPr>
                <w:rFonts w:ascii="Arial" w:hAnsi="Arial"/>
                <w:b w:val="0"/>
                <w:sz w:val="15"/>
              </w:rPr>
              <w:t>Legea 163/2026, art. unic pct. 8</w:t>
            </w:r>
          </w:p>
        </w:tc>
      </w:tr>
    </w:tbl>
    <w:p>
      <w:pPr>
        <w:pStyle w:val="Heading1"/>
      </w:pPr>
      <w:r>
        <w:t>10. Acte normative suplimentare și precizări privind aplicabilitatea</w:t>
      </w:r>
    </w:p>
    <w:p>
      <w:r>
        <w:t>Pentru interpretarea unitară a obligațiilor CFDCD și a activităților de formare continuă, actele de mai jos completează cadrul principal. Ele nu înlocuiesc OMEC nr. 3.986/2025 și procedurile specifice publicate de MEC.</w:t>
      </w:r>
    </w:p>
    <w:p>
      <w:r>
        <w:t>10.1. Legea învățământului preuniversitar nr. 198/2023 – Capitolul VIII, art. 185–188. Art. 185 stabilește cadrul formării continue și al evoluției în carieră; art. 187 reglementează dezvoltarea profesională și creditele transferabile; art. 188 privește cadrul programelor de formare continuă. Pentru aplicare se utilizează forma consolidată, cu modificările și completările ulterioare.</w:t>
      </w:r>
    </w:p>
    <w:p>
      <w:r>
        <w:t>10.2. Legea nr. 235/12.12.2025 pentru completarea art. 185 din Legea nr. 198/2023. A introdus art. 185 alin. (10^1), referitor la situația candidaților înscriși la licențiere/definitivare sau la examenele pentru grade didactice care intră în concediu pentru creșterea copilului ori în concediu de acomodare. Este o completare privind continuitatea etapelor de carieră, nu o regulă de calcul al creditelor ECTS.</w:t>
      </w:r>
    </w:p>
    <w:p>
      <w:r>
        <w:t>10.3. Ordinul ministrului educației nr. 6.768/12.12.2023, publicat în Monitorul Oficial nr. 39/17.01.2024 – Metodologia de acordare a creditelor transferabile în învățarea pe tot parcursul vieții, cu modificările ulterioare. Este un act-cadru privind creditele transferabile și este indicat în preambulul OMEC nr. 3.986/2025; se citește în corelare cu metodologia specifică formării în cariera didactică.</w:t>
      </w:r>
    </w:p>
    <w:p>
      <w:r>
        <w:t>10.4. Procedura specifică nr. 29.810/31.07.2025 – privind acreditarea programelor pentru dezvoltare în cariera didactică de specialitate și complementare. Este elaborată în baza art. 9 alin. (2) din Metodologia-cadru aprobată prin OMEC nr. 3.986/2025.</w:t>
      </w:r>
    </w:p>
    <w:p>
      <w:r>
        <w:t>10.5. Procedura specifică nr. 29.611/24.07.2025 – privind implementarea programelor pentru dezvoltare în cariera didactică. Reglementează implementarea programelor validate calitativ de MEC și este operațională de la 1 septembrie 2025; include anexe și instrumente de lucru pentru furnizori.</w:t>
      </w:r>
    </w:p>
    <w:p>
      <w:r>
        <w:t>10.6. OM nr. 3.350/26.02.2026, publicat în Monitorul Oficial nr. 165/04.03.2026 – completează Metodologia aprobată prin OMECTS nr. 5.561/2011. Introduce art. 16^1 și art. 36^1 privind continuarea probelor pentru gradele didactice II și I în anumite situații de concediu pentru creșterea copilului/concediu de acomodare. Nu modifică direct atribuțiile CFDCD, pragul de 15 ECTS sau conversia CPT–ECTS; se menționează ca act complementar numai când sunt abordate gradele didactice și situațiile de suspendare/continuare a probelor.</w:t>
      </w:r>
    </w:p>
    <w:p>
      <w:r>
        <w:t>10.7. Delimitare importantă: OMEC nr. 3.986/2025 a abrogat, de la 1 septembrie 2025, OM nr. 4.224/2022. Pentru programele și condițiile de formare reglementate de noua metodologie, nu se citează OM nr. 4.224/2022 ca temei în vigoare. Procedurile nr. 29.810/2025, 29.611/2025, 31.140/2025 și 30.271/2025 sunt proceduri operaționale subsecvente, nu legi, ordonanțe sau ordine de ministru.</w:t>
      </w:r>
    </w:p>
    <w:p>
      <w:pPr>
        <w:pStyle w:val="ListBullet"/>
      </w:pPr>
      <w:r>
        <w:t>Legea nr. 235 din 12 decembrie 2025 pentru completarea art. 185 din Legea învățământului preuniversitar nr. 198/2023, publicată în Monitorul Oficial nr. 1.163/16.12.2025.</w:t>
      </w:r>
    </w:p>
    <w:p>
      <w:pPr>
        <w:pStyle w:val="ListBullet"/>
      </w:pPr>
      <w:r>
        <w:t>Ordinul ministrului educației nr. 6.768 din 12 decembrie 2023 pentru aprobarea Metodologiei de acordare a creditelor transferabile în învățarea pe tot parcursul vieții, publicat în Monitorul Oficial nr. 39/17.01.2024, cu modificările ulterioare.</w:t>
      </w:r>
    </w:p>
    <w:p>
      <w:pPr>
        <w:pStyle w:val="ListBullet"/>
      </w:pPr>
      <w:r>
        <w:t>Procedura specifică nr. 29.810/31.07.2025 privind acreditarea programelor pentru dezvoltare în cariera didactică de specialitate și complementare.</w:t>
      </w:r>
    </w:p>
    <w:p>
      <w:pPr>
        <w:pStyle w:val="ListBullet"/>
      </w:pPr>
      <w:r>
        <w:t>Procedura specifică nr. 29.611/24.07.2025 privind implementarea programelor pentru dezvoltare în cariera didactică, inclusiv anexele publicate de MEC.</w:t>
      </w:r>
    </w:p>
    <w:p>
      <w:pPr>
        <w:pStyle w:val="ListBullet"/>
      </w:pPr>
      <w:r>
        <w:t>Ordinul nr. 3.350 din 26 februarie 2026 pentru completarea Metodologiei aprobate prin OMECTS nr. 5.561/2011, publicat în Monitorul Oficial nr. 165/04.03.2026 – aplicabil punctual situațiilor privind continuarea probelor pentru gradele didactice II și I în cazurile prevăzute de ordin.</w:t>
      </w:r>
    </w:p>
    <w:p>
      <w:pPr>
        <w:pStyle w:val="ListBullet"/>
      </w:pPr>
      <w:r>
        <w:t>Pagina oficială MEC – OMEC nr. 3.986/2025 și procedurile nr. 29.810/2025, 29.611/2025, 31.140/2025 și 30.271/2025: https://www.edu.ro/metodologie_asigurare_calitate_programe_dezvoltare_profesionala_continua_CD_3986_2025</w:t>
      </w:r>
    </w:p>
    <w:p>
      <w:pPr>
        <w:pStyle w:val="ListBullet"/>
      </w:pPr>
      <w:r>
        <w:t>OM nr. 6.768/2023 – Portalul Legislativ: https://legislatie.just.ro/Public/DetaliiDocumentAfis/278201</w:t>
      </w:r>
    </w:p>
    <w:p>
      <w:pPr>
        <w:pStyle w:val="ListBullet"/>
      </w:pPr>
      <w:r>
        <w:t>OM nr. 3.350/2026 – Portalul Legislativ: https://legislatie.just.ro/Public/DetaliiDocumentAfis/308011</w:t>
      </w:r>
    </w:p>
    <w:p>
      <w:pPr>
        <w:pStyle w:val="ListBullet"/>
      </w:pPr>
      <w:r>
        <w:t>Legea nr. 198/2023 – Portalul Legislativ: https://legislatie.just.ro/Public/DetaliiDocument/271896</w:t>
      </w:r>
    </w:p>
    <w:p>
      <w:pPr>
        <w:pStyle w:val="Heading1"/>
      </w:pPr>
      <w:r>
        <w:t>10. Acte normative și surse consultate</w:t>
      </w:r>
    </w:p>
    <w:p>
      <w:pPr>
        <w:pStyle w:val="ListBullet"/>
      </w:pPr>
      <w:r>
        <w:t>Legea învățământului preuniversitar nr. 198/2023, cu modificările și completările ulterioare – în special art. 187 și art. 188 (temeiuri indicate în OMEC nr. 3.986/2025).</w:t>
      </w:r>
    </w:p>
    <w:p>
      <w:pPr>
        <w:pStyle w:val="ListBullet"/>
      </w:pPr>
      <w:r>
        <w:t>Ordinul ministrului educației și cercetării nr. 3.986 din 5 mai 2025, publicat în Monitorul Oficial nr. 472 din 21 mai 2025 – Metodologia-cadru privind tipul programelor pentru dezvoltare în cariera didactică, asigurarea calității programelor și sistemul de acumulare a creditelor ECTS.</w:t>
      </w:r>
    </w:p>
    <w:p>
      <w:pPr>
        <w:pStyle w:val="ListBullet"/>
      </w:pPr>
      <w:r>
        <w:t>Procedura specifică nr. 31.140/22.09.2025 privind operaționalizarea reglementărilor metodologice aplicabile pentru verificarea îndeplinirii condiției de formare în cariera didactică (documentul încărcat).</w:t>
      </w:r>
    </w:p>
    <w:p>
      <w:pPr>
        <w:pStyle w:val="ListBullet"/>
      </w:pPr>
      <w:r>
        <w:t>Procedura specifică nr. 30.271/20.08.2025 privind recunoașterea și echivalarea în credite ECTS a competențelor dobândite în programe de abilitare funcțională și programe asimilate (publicată pe pagina oficială MEC).</w:t>
      </w:r>
    </w:p>
    <w:p>
      <w:pPr>
        <w:pStyle w:val="ListBullet"/>
      </w:pPr>
      <w:r>
        <w:t>Ordonanța de urgență a Guvernului nr. 58 din 12 iunie 2023, publicată în Monitorul Oficial nr. 518 din 12 iunie 2023, în forma consolidată.</w:t>
      </w:r>
    </w:p>
    <w:p>
      <w:pPr>
        <w:pStyle w:val="ListBullet"/>
      </w:pPr>
      <w:r>
        <w:t>Ordonanța de urgență a Guvernului nr. 39 din 5 mai 2026, publicată în Monitorul Oficial nr. 381 din 6 mai 2026.</w:t>
      </w:r>
    </w:p>
    <w:p>
      <w:pPr>
        <w:pStyle w:val="ListBullet"/>
      </w:pPr>
      <w:r>
        <w:t>Legea nr. 163 din 5 august 2026, publicată în Monitorul Oficial nr. 647 din 5 august 2026, în vigoare de la 8 august 2026.</w:t>
      </w:r>
    </w:p>
    <w:p>
      <w:pPr>
        <w:pStyle w:val="ListBullet"/>
      </w:pPr>
      <w:r>
        <w:t>Pagina MEC – Legislație și proceduri OMEC nr. 3.986/2025: https://www.edu.ro/metodologie_asigurare_calitate_programe_dezvoltare_profesionala_continua_CD_3986_2025</w:t>
      </w:r>
    </w:p>
    <w:p>
      <w:pPr>
        <w:pStyle w:val="ListBullet"/>
      </w:pPr>
      <w:r>
        <w:t>Pagina MEC – Prima pentru carieră didactică și listele cursurilor: https://edu.ro/prima_cariera_didactica_info_liste</w:t>
      </w:r>
    </w:p>
    <w:p>
      <w:pPr>
        <w:pStyle w:val="ListBullet"/>
      </w:pPr>
      <w:r>
        <w:t>Portalul Legislativ – OUG nr. 58/2023, formă consolidată: https://legislatie.just.ro/public/DetaliiDocument/271169</w:t>
      </w:r>
    </w:p>
    <w:p>
      <w:pPr>
        <w:spacing w:before="200"/>
      </w:pPr>
      <w:r>
        <w:rPr>
          <w:b/>
        </w:rPr>
        <w:t xml:space="preserve">Notă finală: </w:t>
      </w:r>
      <w:r>
        <w:t>Informarea are caracter explicativ și operațional. În caz de neconcordanță, prevalează textul actului normativ publicat în Monitorul Oficial și procedura oficială aplicabilă. Pentru echivalarea programelor de abilitare funcțională trebuie utilizate grila și anexele oficiale ale Procedurii nr. 30.271/20.08.2025; pentru verificarea condiției de formare trebuie utilizate anexele oficiale ale Procedurii nr. 31.140/22.09.2025.</w:t>
      </w:r>
    </w:p>
    <w:sectPr w:rsidR="00FC693F" w:rsidRPr="0006063C" w:rsidSect="00034616">
      <w:headerReference w:type="default" r:id="rId9"/>
      <w:footerReference w:type="default" r:id="rId10"/>
      <w:pgSz w:w="12240" w:h="15840"/>
      <w:pgMar w:top="1134" w:right="1134"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46464"/>
        <w:sz w:val="16"/>
      </w:rPr>
      <w:t>Material informativ pentru responsabilii cu formarea – CCD Sibiu | 2 noiembrie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A5A5A"/>
        <w:sz w:val="18"/>
      </w:rPr>
      <w:t>CASA CORPULUI DIDACTIC SIBIU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F4E7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2E5478"/>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